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26D30CCB" w14:textId="77777777" w:rsidR="007363A7" w:rsidRPr="007363A7" w:rsidRDefault="007363A7" w:rsidP="007363A7">
      <w:pPr>
        <w:pStyle w:val="Heading1"/>
        <w:rPr>
          <w:color w:val="2F5496" w:themeColor="accent1" w:themeShade="BF"/>
        </w:rPr>
      </w:pPr>
      <w:r w:rsidRPr="007363A7">
        <w:rPr>
          <w:color w:val="2F5496" w:themeColor="accent1" w:themeShade="BF"/>
        </w:rPr>
        <w:t>Pit lakes</w:t>
      </w:r>
    </w:p>
    <w:p w14:paraId="099E7D79" w14:textId="12772089" w:rsidR="007363A7" w:rsidRPr="00023F0D" w:rsidRDefault="007363A7" w:rsidP="007363A7">
      <w:pPr>
        <w:rPr>
          <w:rFonts w:ascii="Arial" w:hAnsi="Arial" w:cs="Arial"/>
        </w:rPr>
      </w:pPr>
      <w:r w:rsidRPr="007C223D">
        <w:rPr>
          <w:rFonts w:ascii="Arial" w:hAnsi="Arial" w:cs="Arial"/>
        </w:rPr>
        <w:t xml:space="preserve">A pit lake is body of water formed within a mine pit at cessation of mining activities by either ground, </w:t>
      </w:r>
      <w:proofErr w:type="gramStart"/>
      <w:r w:rsidRPr="007C223D">
        <w:rPr>
          <w:rFonts w:ascii="Arial" w:hAnsi="Arial" w:cs="Arial"/>
        </w:rPr>
        <w:t>surface</w:t>
      </w:r>
      <w:proofErr w:type="gramEnd"/>
      <w:r w:rsidRPr="007C223D">
        <w:rPr>
          <w:rFonts w:ascii="Arial" w:hAnsi="Arial" w:cs="Arial"/>
        </w:rPr>
        <w:t xml:space="preserve"> or marine water inflow. These may form naturally or may be planned and deliberately </w:t>
      </w:r>
      <w:proofErr w:type="gramStart"/>
      <w:r w:rsidR="009762BE" w:rsidRPr="007C223D">
        <w:rPr>
          <w:rFonts w:ascii="Arial" w:hAnsi="Arial" w:cs="Arial"/>
        </w:rPr>
        <w:t>filled, or</w:t>
      </w:r>
      <w:proofErr w:type="gramEnd"/>
      <w:r w:rsidRPr="007C223D">
        <w:rPr>
          <w:rFonts w:ascii="Arial" w:hAnsi="Arial" w:cs="Arial"/>
        </w:rPr>
        <w:t xml:space="preserve"> allowed to fill.</w:t>
      </w:r>
    </w:p>
    <w:p w14:paraId="20404780" w14:textId="77777777" w:rsidR="007363A7" w:rsidRDefault="007363A7" w:rsidP="007363A7">
      <w:pPr>
        <w:rPr>
          <w:rFonts w:ascii="Arial" w:hAnsi="Arial" w:cs="Arial"/>
        </w:rPr>
      </w:pPr>
      <w:r w:rsidRPr="11606592">
        <w:rPr>
          <w:rFonts w:ascii="Arial" w:hAnsi="Arial" w:cs="Arial"/>
        </w:rPr>
        <w:t xml:space="preserve">Pit lakes are a commonly chosen option to rehabilitate mines around the world. The flooding of former mine sites can pose </w:t>
      </w:r>
      <w:r>
        <w:rPr>
          <w:rFonts w:ascii="Arial" w:hAnsi="Arial" w:cs="Arial"/>
        </w:rPr>
        <w:t>hazards</w:t>
      </w:r>
      <w:r w:rsidRPr="11606592">
        <w:rPr>
          <w:rFonts w:ascii="Arial" w:hAnsi="Arial" w:cs="Arial"/>
        </w:rPr>
        <w:t xml:space="preserve"> as they fill, such as the potential for drowning (humans and animals), and because, for the period of fill, </w:t>
      </w:r>
      <w:r>
        <w:rPr>
          <w:rFonts w:ascii="Arial" w:hAnsi="Arial" w:cs="Arial"/>
        </w:rPr>
        <w:t xml:space="preserve">they </w:t>
      </w:r>
      <w:r w:rsidRPr="11606592">
        <w:rPr>
          <w:rFonts w:ascii="Arial" w:hAnsi="Arial" w:cs="Arial"/>
        </w:rPr>
        <w:t xml:space="preserve">may reduce the volume of water available to other users. There are </w:t>
      </w:r>
      <w:r>
        <w:rPr>
          <w:rFonts w:ascii="Arial" w:hAnsi="Arial" w:cs="Arial"/>
        </w:rPr>
        <w:t>many</w:t>
      </w:r>
      <w:r w:rsidRPr="11606592">
        <w:rPr>
          <w:rFonts w:ascii="Arial" w:hAnsi="Arial" w:cs="Arial"/>
        </w:rPr>
        <w:t xml:space="preserve"> examples that demonstrate </w:t>
      </w:r>
      <w:r>
        <w:rPr>
          <w:rFonts w:ascii="Arial" w:hAnsi="Arial" w:cs="Arial"/>
        </w:rPr>
        <w:t xml:space="preserve">that pit lakes provide </w:t>
      </w:r>
      <w:r w:rsidRPr="11606592">
        <w:rPr>
          <w:rFonts w:ascii="Arial" w:hAnsi="Arial" w:cs="Arial"/>
        </w:rPr>
        <w:t xml:space="preserve">beneficial cultural and social opportunities for </w:t>
      </w:r>
      <w:r>
        <w:rPr>
          <w:rFonts w:ascii="Arial" w:hAnsi="Arial" w:cs="Arial"/>
        </w:rPr>
        <w:t xml:space="preserve">e.g., </w:t>
      </w:r>
      <w:r w:rsidRPr="11606592">
        <w:rPr>
          <w:rFonts w:ascii="Arial" w:hAnsi="Arial" w:cs="Arial"/>
        </w:rPr>
        <w:t xml:space="preserve">tourism and landscape restoration. </w:t>
      </w:r>
    </w:p>
    <w:p w14:paraId="5D03CA59" w14:textId="77777777" w:rsidR="007363A7" w:rsidRPr="00023F0D" w:rsidRDefault="007363A7" w:rsidP="007363A7">
      <w:pPr>
        <w:rPr>
          <w:rFonts w:ascii="Arial" w:hAnsi="Arial" w:cs="Arial"/>
        </w:rPr>
      </w:pPr>
      <w:r w:rsidRPr="7C4699BC">
        <w:rPr>
          <w:rFonts w:ascii="Arial" w:hAnsi="Arial" w:cs="Arial"/>
        </w:rPr>
        <w:t xml:space="preserve">The characteristics of pit lakes, as well as the related risks and opportunities vary between mines and regions. In Victoria’s brown coal mines, lakes provide risk mitigation for bushfire and geotechnical instability. The volumes required to create and maintain any lakes, however, pose unique challenges in </w:t>
      </w:r>
      <w:r>
        <w:rPr>
          <w:rFonts w:ascii="Arial" w:hAnsi="Arial" w:cs="Arial"/>
        </w:rPr>
        <w:t>a changing</w:t>
      </w:r>
      <w:r w:rsidRPr="7C4699BC">
        <w:rPr>
          <w:rFonts w:ascii="Arial" w:hAnsi="Arial" w:cs="Arial"/>
        </w:rPr>
        <w:t xml:space="preserve"> climate. </w:t>
      </w:r>
    </w:p>
    <w:p w14:paraId="40496BD5" w14:textId="77777777" w:rsidR="00B2708F" w:rsidRPr="00920E23" w:rsidRDefault="00B2708F" w:rsidP="00920E23">
      <w:pPr>
        <w:spacing w:after="0" w:line="240" w:lineRule="auto"/>
        <w:rPr>
          <w:rFonts w:ascii="Arial" w:hAnsi="Arial" w:cs="Arial"/>
          <w:sz w:val="24"/>
          <w:szCs w:val="24"/>
        </w:rPr>
      </w:pPr>
    </w:p>
    <w:p w14:paraId="7CA078F3" w14:textId="77777777" w:rsidR="009177B9" w:rsidRPr="002D732F" w:rsidRDefault="009177B9" w:rsidP="002D732F">
      <w:pPr>
        <w:pStyle w:val="Heading2"/>
        <w:rPr>
          <w:color w:val="2F5496" w:themeColor="accent1" w:themeShade="BF"/>
          <w:sz w:val="24"/>
          <w:szCs w:val="24"/>
        </w:rPr>
      </w:pPr>
      <w:r w:rsidRPr="002D732F">
        <w:rPr>
          <w:color w:val="2F5496" w:themeColor="accent1" w:themeShade="BF"/>
          <w:sz w:val="24"/>
          <w:szCs w:val="24"/>
        </w:rPr>
        <w:t>Understanding pit lakes in mine rehabilitation</w:t>
      </w:r>
    </w:p>
    <w:p w14:paraId="334D0AB9" w14:textId="77777777" w:rsidR="009177B9" w:rsidRPr="009177B9" w:rsidRDefault="009177B9" w:rsidP="009177B9">
      <w:pPr>
        <w:autoSpaceDE w:val="0"/>
        <w:autoSpaceDN w:val="0"/>
        <w:adjustRightInd w:val="0"/>
        <w:spacing w:after="0" w:line="240" w:lineRule="auto"/>
        <w:rPr>
          <w:rFonts w:ascii="Arial" w:hAnsi="Arial" w:cs="Arial"/>
          <w:sz w:val="12"/>
          <w:szCs w:val="12"/>
        </w:rPr>
      </w:pPr>
    </w:p>
    <w:p w14:paraId="2DA12C35" w14:textId="653C25C6" w:rsidR="009177B9" w:rsidRPr="009177B9" w:rsidRDefault="009177B9" w:rsidP="009177B9">
      <w:pPr>
        <w:rPr>
          <w:rFonts w:ascii="Arial" w:hAnsi="Arial" w:cs="Arial"/>
          <w:color w:val="000000" w:themeColor="text1"/>
        </w:rPr>
      </w:pPr>
      <w:r w:rsidRPr="009177B9">
        <w:rPr>
          <w:rFonts w:ascii="Arial" w:hAnsi="Arial" w:cs="Arial"/>
          <w:color w:val="000000" w:themeColor="text1"/>
        </w:rPr>
        <w:t xml:space="preserve">The </w:t>
      </w:r>
      <w:r w:rsidRPr="009177B9">
        <w:rPr>
          <w:rFonts w:ascii="Arial" w:hAnsi="Arial" w:cs="Arial"/>
        </w:rPr>
        <w:t>Hazelwood Mine Fire Inquiry</w:t>
      </w:r>
      <w:r>
        <w:t xml:space="preserve"> </w:t>
      </w:r>
      <w:r w:rsidRPr="009177B9">
        <w:rPr>
          <w:rFonts w:ascii="Arial" w:hAnsi="Arial" w:cs="Arial"/>
          <w:color w:val="000000" w:themeColor="text1"/>
        </w:rPr>
        <w:t xml:space="preserve">found that using water to create pit lakes in areas where coal has been mined is likely to be the most viable way to achieve safe and stable rehabilitation of the mines. However, the Inquiry recognised that significant knowledge gaps existed in relation to the feasibility of pit lakes as a rehabilitation option and recommended further investigations be carried out. </w:t>
      </w:r>
    </w:p>
    <w:p w14:paraId="1B29AE4B" w14:textId="77777777" w:rsidR="009177B9" w:rsidRPr="009177B9" w:rsidRDefault="009177B9" w:rsidP="009177B9">
      <w:pPr>
        <w:rPr>
          <w:rFonts w:ascii="Arial" w:hAnsi="Arial" w:cs="Arial"/>
          <w:color w:val="000000" w:themeColor="text1"/>
        </w:rPr>
      </w:pPr>
      <w:r w:rsidRPr="009177B9">
        <w:rPr>
          <w:rFonts w:ascii="Arial" w:hAnsi="Arial" w:cs="Arial"/>
          <w:color w:val="000000" w:themeColor="text1"/>
        </w:rPr>
        <w:t xml:space="preserve">Specific technical studies are being undertaken by declared mine licensees </w:t>
      </w:r>
      <w:proofErr w:type="gramStart"/>
      <w:r w:rsidRPr="009177B9">
        <w:rPr>
          <w:rFonts w:ascii="Arial" w:hAnsi="Arial" w:cs="Arial"/>
          <w:color w:val="000000" w:themeColor="text1"/>
        </w:rPr>
        <w:t>in order to</w:t>
      </w:r>
      <w:proofErr w:type="gramEnd"/>
      <w:r w:rsidRPr="009177B9">
        <w:rPr>
          <w:rFonts w:ascii="Arial" w:hAnsi="Arial" w:cs="Arial"/>
          <w:color w:val="000000" w:themeColor="text1"/>
        </w:rPr>
        <w:t xml:space="preserve"> address relevant knowledge gaps. These studies will be assessed by Victorian government regulators. </w:t>
      </w:r>
    </w:p>
    <w:p w14:paraId="354DA763" w14:textId="3985B367" w:rsidR="00606089" w:rsidRPr="00606089" w:rsidRDefault="009177B9" w:rsidP="00606089">
      <w:pPr>
        <w:rPr>
          <w:rFonts w:ascii="Arial" w:hAnsi="Arial" w:cs="Arial"/>
          <w:color w:val="000000" w:themeColor="text1"/>
        </w:rPr>
      </w:pPr>
      <w:r w:rsidRPr="00606089">
        <w:rPr>
          <w:rFonts w:ascii="Arial" w:hAnsi="Arial" w:cs="Arial"/>
          <w:color w:val="000000" w:themeColor="text1"/>
        </w:rPr>
        <w:t>High level investigations focussing on geotechnical, water and land use</w:t>
      </w:r>
      <w:r w:rsidR="00606089" w:rsidRPr="00606089">
        <w:rPr>
          <w:rFonts w:ascii="Arial" w:hAnsi="Arial" w:cs="Arial"/>
          <w:color w:val="000000" w:themeColor="text1"/>
        </w:rPr>
        <w:t xml:space="preserve"> </w:t>
      </w:r>
      <w:r w:rsidR="00606089" w:rsidRPr="00606089">
        <w:rPr>
          <w:rFonts w:ascii="Arial" w:hAnsi="Arial" w:cs="Arial"/>
          <w:color w:val="000000" w:themeColor="text1"/>
        </w:rPr>
        <w:t>planning were undertaken as part of the Latrobe Valley Regional Rehabilitation Strategy (LVRRS). The</w:t>
      </w:r>
      <w:r w:rsidR="00606089">
        <w:t xml:space="preserve"> </w:t>
      </w:r>
      <w:r w:rsidR="00606089" w:rsidRPr="00606089">
        <w:rPr>
          <w:rFonts w:ascii="Arial" w:hAnsi="Arial" w:cs="Arial"/>
        </w:rPr>
        <w:t>studies</w:t>
      </w:r>
      <w:r w:rsidR="00606089" w:rsidRPr="00606089">
        <w:rPr>
          <w:rFonts w:ascii="Arial" w:hAnsi="Arial" w:cs="Arial"/>
          <w:color w:val="000000" w:themeColor="text1"/>
        </w:rPr>
        <w:t>, which were carried out by technical specialists between 2017 and 2019, considered the regional benefits and risks associated with stabilising the mine pits by creating full or</w:t>
      </w:r>
      <w:r w:rsidR="00606089" w:rsidRPr="00606089">
        <w:rPr>
          <w:rFonts w:ascii="Arial" w:hAnsi="Arial" w:cs="Arial"/>
        </w:rPr>
        <w:t xml:space="preserve"> partial pit lakes. The studies noted that there were issues that remained unresolved and required further consideration. </w:t>
      </w:r>
    </w:p>
    <w:p w14:paraId="474A6B5F" w14:textId="5D83DC84" w:rsidR="00386F5F" w:rsidRPr="009762BE" w:rsidRDefault="00606089" w:rsidP="009762BE">
      <w:pPr>
        <w:rPr>
          <w:rFonts w:ascii="Arial" w:hAnsi="Arial" w:cs="Arial"/>
          <w:color w:val="000000" w:themeColor="text1"/>
          <w:sz w:val="24"/>
          <w:szCs w:val="24"/>
        </w:rPr>
      </w:pPr>
      <w:r w:rsidRPr="00606089">
        <w:rPr>
          <w:rFonts w:ascii="Arial" w:hAnsi="Arial" w:cs="Arial"/>
          <w:color w:val="000000" w:themeColor="text1"/>
        </w:rPr>
        <w:t xml:space="preserve">In addition to the work being completed by the mine licensees, the Mine Land Rehabilitation Authority is collaborating with the Cooperative Research Centre for Transformations in Mining Economies (CRC </w:t>
      </w:r>
      <w:proofErr w:type="spellStart"/>
      <w:r w:rsidRPr="00606089">
        <w:rPr>
          <w:rFonts w:ascii="Arial" w:hAnsi="Arial" w:cs="Arial"/>
          <w:color w:val="000000" w:themeColor="text1"/>
        </w:rPr>
        <w:t>TiME</w:t>
      </w:r>
      <w:proofErr w:type="spellEnd"/>
      <w:r w:rsidRPr="00606089">
        <w:rPr>
          <w:rFonts w:ascii="Arial" w:hAnsi="Arial" w:cs="Arial"/>
          <w:color w:val="000000" w:themeColor="text1"/>
        </w:rPr>
        <w:t xml:space="preserve">) in their research into pit lakes. When this study is </w:t>
      </w:r>
      <w:proofErr w:type="gramStart"/>
      <w:r w:rsidRPr="00606089">
        <w:rPr>
          <w:rFonts w:ascii="Arial" w:hAnsi="Arial" w:cs="Arial"/>
          <w:color w:val="000000" w:themeColor="text1"/>
        </w:rPr>
        <w:t>completed</w:t>
      </w:r>
      <w:proofErr w:type="gramEnd"/>
      <w:r w:rsidRPr="00606089">
        <w:rPr>
          <w:rFonts w:ascii="Arial" w:hAnsi="Arial" w:cs="Arial"/>
          <w:color w:val="000000" w:themeColor="text1"/>
        </w:rPr>
        <w:t xml:space="preserve"> it will be publicly available</w:t>
      </w:r>
      <w:r w:rsidRPr="00606089">
        <w:rPr>
          <w:rFonts w:ascii="Arial" w:hAnsi="Arial" w:cs="Arial"/>
          <w:color w:val="000000" w:themeColor="text1"/>
          <w:sz w:val="24"/>
          <w:szCs w:val="24"/>
        </w:rPr>
        <w:t>.</w:t>
      </w:r>
    </w:p>
    <w:p w14:paraId="5367DFF3" w14:textId="77777777" w:rsidR="009177B9" w:rsidRPr="00386F5F" w:rsidRDefault="009177B9" w:rsidP="009177B9">
      <w:pPr>
        <w:widowControl w:val="0"/>
        <w:autoSpaceDE w:val="0"/>
        <w:autoSpaceDN w:val="0"/>
        <w:spacing w:before="95" w:after="0" w:line="240" w:lineRule="auto"/>
        <w:rPr>
          <w:rFonts w:ascii="Arial" w:eastAsia="Arial" w:hAnsi="Arial" w:cs="Arial"/>
          <w:sz w:val="24"/>
          <w:szCs w:val="24"/>
          <w:lang w:val="en-GB" w:eastAsia="en-GB" w:bidi="en-GB"/>
        </w:rPr>
      </w:pPr>
    </w:p>
    <w:p w14:paraId="690AFB14" w14:textId="77777777" w:rsidR="009762BE" w:rsidRPr="009762BE" w:rsidRDefault="009762BE" w:rsidP="009762BE">
      <w:pPr>
        <w:pStyle w:val="Heading2"/>
        <w:rPr>
          <w:color w:val="2F5496" w:themeColor="accent1" w:themeShade="BF"/>
          <w:sz w:val="24"/>
          <w:szCs w:val="24"/>
        </w:rPr>
      </w:pPr>
      <w:r w:rsidRPr="009762BE">
        <w:rPr>
          <w:color w:val="2F5496" w:themeColor="accent1" w:themeShade="BF"/>
          <w:sz w:val="24"/>
          <w:szCs w:val="24"/>
        </w:rPr>
        <w:t>How does this affect you?</w:t>
      </w:r>
    </w:p>
    <w:p w14:paraId="654F17D6" w14:textId="77777777" w:rsidR="009762BE" w:rsidRPr="009762BE" w:rsidRDefault="009762BE" w:rsidP="009762BE">
      <w:pPr>
        <w:autoSpaceDE w:val="0"/>
        <w:autoSpaceDN w:val="0"/>
        <w:adjustRightInd w:val="0"/>
        <w:spacing w:after="120" w:line="240" w:lineRule="auto"/>
        <w:rPr>
          <w:rFonts w:ascii="Arial" w:hAnsi="Arial" w:cs="Arial"/>
        </w:rPr>
      </w:pPr>
      <w:r w:rsidRPr="009762BE">
        <w:rPr>
          <w:rFonts w:ascii="Arial" w:hAnsi="Arial" w:cs="Arial"/>
        </w:rPr>
        <w:t xml:space="preserve">You may have a vision for the use of the rehabilitated mines in the future. Learning more about the technical, </w:t>
      </w:r>
      <w:proofErr w:type="gramStart"/>
      <w:r w:rsidRPr="009762BE">
        <w:rPr>
          <w:rFonts w:ascii="Arial" w:hAnsi="Arial" w:cs="Arial"/>
        </w:rPr>
        <w:t>environmental</w:t>
      </w:r>
      <w:proofErr w:type="gramEnd"/>
      <w:r w:rsidRPr="009762BE">
        <w:rPr>
          <w:rFonts w:ascii="Arial" w:hAnsi="Arial" w:cs="Arial"/>
        </w:rPr>
        <w:t xml:space="preserve"> and social issues around mine rehabilitation can help inform this vision. An informed community is an empowered community. </w:t>
      </w:r>
    </w:p>
    <w:p w14:paraId="26526A53" w14:textId="77777777" w:rsidR="009762BE" w:rsidRPr="009762BE" w:rsidRDefault="009762BE" w:rsidP="009762BE">
      <w:pPr>
        <w:spacing w:after="120" w:line="240" w:lineRule="auto"/>
        <w:rPr>
          <w:rFonts w:ascii="Arial" w:hAnsi="Arial" w:cs="Arial"/>
        </w:rPr>
      </w:pPr>
      <w:r w:rsidRPr="009762BE">
        <w:rPr>
          <w:rFonts w:ascii="Arial" w:hAnsi="Arial" w:cs="Arial"/>
        </w:rPr>
        <w:lastRenderedPageBreak/>
        <w:t xml:space="preserve">One way of staying informed about the technical, </w:t>
      </w:r>
      <w:proofErr w:type="gramStart"/>
      <w:r w:rsidRPr="009762BE">
        <w:rPr>
          <w:rFonts w:ascii="Arial" w:hAnsi="Arial" w:cs="Arial"/>
        </w:rPr>
        <w:t>environmental</w:t>
      </w:r>
      <w:proofErr w:type="gramEnd"/>
      <w:r w:rsidRPr="009762BE">
        <w:rPr>
          <w:rFonts w:ascii="Arial" w:hAnsi="Arial" w:cs="Arial"/>
        </w:rPr>
        <w:t xml:space="preserve"> and social issues around mine rehabilitation is by watching our videos and following us on social media. </w:t>
      </w:r>
    </w:p>
    <w:p w14:paraId="37941730" w14:textId="55C7B22B" w:rsidR="00386F5F" w:rsidRDefault="00386F5F" w:rsidP="00386F5F">
      <w:pPr>
        <w:rPr>
          <w:rFonts w:ascii="Arial" w:hAnsi="Arial" w:cs="Arial"/>
        </w:rPr>
      </w:pPr>
      <w:r w:rsidRPr="00386F5F">
        <w:rPr>
          <w:rFonts w:ascii="Arial" w:hAnsi="Arial" w:cs="Arial"/>
        </w:rPr>
        <w:t>rehabilitation means minimising the ongoing costs of long-term management and maintenance of mined land</w:t>
      </w:r>
      <w:r w:rsidR="00AB54DD">
        <w:rPr>
          <w:rFonts w:ascii="Arial" w:hAnsi="Arial" w:cs="Arial"/>
        </w:rPr>
        <w:t>.</w:t>
      </w:r>
    </w:p>
    <w:p w14:paraId="0B68AFFB" w14:textId="77777777" w:rsidR="0003715D" w:rsidRPr="0003715D" w:rsidRDefault="0003715D" w:rsidP="0003715D">
      <w:pPr>
        <w:rPr>
          <w:lang w:eastAsia="en-AU"/>
        </w:rPr>
      </w:pPr>
    </w:p>
    <w:p w14:paraId="5CB0E839" w14:textId="77777777" w:rsidR="00D9013B" w:rsidRPr="00D9013B" w:rsidRDefault="00D9013B" w:rsidP="00D9013B">
      <w:pPr>
        <w:rPr>
          <w:lang w:eastAsia="en-GB"/>
        </w:rPr>
      </w:pPr>
    </w:p>
    <w:p w14:paraId="0087ADB0" w14:textId="77777777" w:rsidR="00092FD7" w:rsidRPr="00092FD7" w:rsidRDefault="00092FD7" w:rsidP="003D1EA3">
      <w:pPr>
        <w:spacing w:after="0" w:line="240" w:lineRule="auto"/>
        <w:rPr>
          <w:rFonts w:ascii="Arial" w:hAnsi="Arial" w:cs="Arial"/>
          <w:b/>
          <w:bCs/>
          <w:color w:val="00B0B9"/>
          <w:sz w:val="6"/>
          <w:szCs w:val="6"/>
        </w:rPr>
      </w:pPr>
    </w:p>
    <w:p w14:paraId="457AED1A" w14:textId="77777777" w:rsidR="003E4E90" w:rsidRDefault="003E4E90" w:rsidP="00071BD8">
      <w:pPr>
        <w:spacing w:after="0" w:line="240" w:lineRule="auto"/>
        <w:rPr>
          <w:rFonts w:ascii="Arial" w:hAnsi="Arial" w:cs="Arial"/>
        </w:rPr>
      </w:pPr>
    </w:p>
    <w:p w14:paraId="2583702B" w14:textId="3A9C40B6" w:rsidR="007B660C" w:rsidRPr="00F03C9E" w:rsidRDefault="00306B20" w:rsidP="007B660C">
      <w:pPr>
        <w:rPr>
          <w:rFonts w:ascii="Arial" w:hAnsi="Arial" w:cs="Arial"/>
          <w:color w:val="000000" w:themeColor="text1"/>
          <w:sz w:val="20"/>
          <w:szCs w:val="20"/>
        </w:rPr>
      </w:pPr>
      <w:r>
        <w:rPr>
          <w:rFonts w:ascii="Arial" w:hAnsi="Arial" w:cs="Arial"/>
          <w:lang w:eastAsia="en-GB"/>
        </w:rPr>
        <w:t>C</w:t>
      </w:r>
      <w:r w:rsidR="007B660C" w:rsidRPr="00410900">
        <w:rPr>
          <w:rFonts w:ascii="Arial" w:hAnsi="Arial" w:cs="Arial"/>
          <w:lang w:eastAsia="en-GB"/>
        </w:rPr>
        <w:t xml:space="preserve">ontact </w:t>
      </w:r>
      <w:r w:rsidR="00F03C9E">
        <w:rPr>
          <w:rFonts w:ascii="Arial" w:hAnsi="Arial" w:cs="Arial"/>
          <w:lang w:eastAsia="en-GB"/>
        </w:rPr>
        <w:t>the MLRA</w:t>
      </w:r>
      <w:r w:rsidR="007B660C" w:rsidRPr="00410900">
        <w:rPr>
          <w:rFonts w:ascii="Arial" w:hAnsi="Arial" w:cs="Arial"/>
          <w:lang w:eastAsia="en-GB"/>
        </w:rPr>
        <w:t xml:space="preserve"> </w:t>
      </w:r>
      <w:r>
        <w:rPr>
          <w:rFonts w:ascii="Arial" w:hAnsi="Arial" w:cs="Arial"/>
          <w:lang w:eastAsia="en-GB"/>
        </w:rPr>
        <w:t xml:space="preserve">for more information </w:t>
      </w:r>
      <w:r w:rsidR="009E6133">
        <w:rPr>
          <w:rFonts w:ascii="Arial" w:hAnsi="Arial" w:cs="Arial"/>
          <w:lang w:eastAsia="en-GB"/>
        </w:rPr>
        <w:t xml:space="preserve">on </w:t>
      </w:r>
      <w:r w:rsidR="007B660C" w:rsidRPr="00410900">
        <w:rPr>
          <w:rFonts w:ascii="Arial" w:hAnsi="Arial" w:cs="Arial"/>
          <w:lang w:eastAsia="en-GB"/>
        </w:rPr>
        <w:t xml:space="preserve">1800 571 966 </w:t>
      </w:r>
      <w:r w:rsidR="00CF5023">
        <w:rPr>
          <w:rFonts w:ascii="Arial" w:hAnsi="Arial" w:cs="Arial"/>
          <w:lang w:eastAsia="en-GB"/>
        </w:rPr>
        <w:t>or</w:t>
      </w:r>
      <w:r>
        <w:rPr>
          <w:rFonts w:ascii="Arial" w:hAnsi="Arial" w:cs="Arial"/>
          <w:lang w:eastAsia="en-GB"/>
        </w:rPr>
        <w:t xml:space="preserve"> </w:t>
      </w:r>
      <w:hyperlink r:id="rId13" w:history="1">
        <w:r w:rsidRPr="00937E67">
          <w:rPr>
            <w:rStyle w:val="Hyperlink"/>
            <w:rFonts w:ascii="Arial" w:hAnsi="Arial" w:cs="Arial"/>
            <w:lang w:eastAsia="en-GB"/>
          </w:rPr>
          <w:t>contactus@mineland.vic.gov.au</w:t>
        </w:r>
      </w:hyperlink>
      <w:r w:rsidR="009E6133">
        <w:rPr>
          <w:rStyle w:val="Hyperlink"/>
          <w:rFonts w:ascii="Arial" w:hAnsi="Arial" w:cs="Arial"/>
          <w:lang w:eastAsia="en-GB"/>
        </w:rPr>
        <w:t xml:space="preserve">  </w:t>
      </w:r>
    </w:p>
    <w:p w14:paraId="33DE60F6" w14:textId="34C2250B" w:rsidR="007B660C" w:rsidRDefault="007B660C" w:rsidP="007B660C"/>
    <w:p w14:paraId="51D91C81" w14:textId="550BB765" w:rsidR="00D97E6E" w:rsidRDefault="000536D9">
      <w:r w:rsidRPr="000536D9">
        <w:rPr>
          <w:noProof/>
        </w:rPr>
        <w:drawing>
          <wp:inline distT="0" distB="0" distL="0" distR="0" wp14:anchorId="71D4D3A1" wp14:editId="64F09DBD">
            <wp:extent cx="426295" cy="419100"/>
            <wp:effectExtent l="0" t="0" r="0" b="0"/>
            <wp:docPr id="8" name="Picture 8"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4"/>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74770BF6" wp14:editId="229F460B">
            <wp:extent cx="391242" cy="381000"/>
            <wp:effectExtent l="0" t="0" r="889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5"/>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54C4E564" wp14:editId="56A212DA">
            <wp:extent cx="1104900" cy="267353"/>
            <wp:effectExtent l="0" t="0" r="0" b="0"/>
            <wp:docPr id="10" name="Picture 1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6"/>
                    <a:stretch>
                      <a:fillRect/>
                    </a:stretch>
                  </pic:blipFill>
                  <pic:spPr>
                    <a:xfrm>
                      <a:off x="0" y="0"/>
                      <a:ext cx="1135063" cy="274651"/>
                    </a:xfrm>
                    <a:prstGeom prst="rect">
                      <a:avLst/>
                    </a:prstGeom>
                  </pic:spPr>
                </pic:pic>
              </a:graphicData>
            </a:graphic>
          </wp:inline>
        </w:drawing>
      </w:r>
      <w:r>
        <w:t xml:space="preserve"> MLRAuthority</w:t>
      </w:r>
    </w:p>
    <w:sectPr w:rsidR="00D97E6E" w:rsidSect="00D20B5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70BC" w14:textId="77777777" w:rsidR="00442866" w:rsidRDefault="00442866" w:rsidP="00D12781">
      <w:pPr>
        <w:spacing w:after="0" w:line="240" w:lineRule="auto"/>
      </w:pPr>
      <w:r>
        <w:separator/>
      </w:r>
    </w:p>
  </w:endnote>
  <w:endnote w:type="continuationSeparator" w:id="0">
    <w:p w14:paraId="35E6FECE" w14:textId="77777777" w:rsidR="00442866" w:rsidRDefault="00442866" w:rsidP="00D12781">
      <w:pPr>
        <w:spacing w:after="0" w:line="240" w:lineRule="auto"/>
      </w:pPr>
      <w:r>
        <w:continuationSeparator/>
      </w:r>
    </w:p>
  </w:endnote>
  <w:endnote w:type="continuationNotice" w:id="1">
    <w:p w14:paraId="5215B8D5" w14:textId="77777777" w:rsidR="00442866" w:rsidRDefault="00442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3653" w14:textId="77777777" w:rsidR="005A3144" w:rsidRDefault="005A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3561BDAA" w:rsidR="00D97B00" w:rsidRDefault="00D97B00">
    <w:pPr>
      <w:pStyle w:val="Footer"/>
      <w:jc w:val="right"/>
    </w:pPr>
  </w:p>
  <w:p w14:paraId="37E05CDD" w14:textId="4178CD2D" w:rsidR="000536D9" w:rsidRDefault="008B7C8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AFDD" w14:textId="3980871F" w:rsidR="005A3144" w:rsidRDefault="005A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8598" w14:textId="77777777" w:rsidR="00442866" w:rsidRDefault="00442866" w:rsidP="00D12781">
      <w:pPr>
        <w:spacing w:after="0" w:line="240" w:lineRule="auto"/>
      </w:pPr>
      <w:r>
        <w:separator/>
      </w:r>
    </w:p>
  </w:footnote>
  <w:footnote w:type="continuationSeparator" w:id="0">
    <w:p w14:paraId="0463D089" w14:textId="77777777" w:rsidR="00442866" w:rsidRDefault="00442866" w:rsidP="00D12781">
      <w:pPr>
        <w:spacing w:after="0" w:line="240" w:lineRule="auto"/>
      </w:pPr>
      <w:r>
        <w:continuationSeparator/>
      </w:r>
    </w:p>
  </w:footnote>
  <w:footnote w:type="continuationNotice" w:id="1">
    <w:p w14:paraId="39E42A06" w14:textId="77777777" w:rsidR="00442866" w:rsidRDefault="00442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10D8" w14:textId="77777777" w:rsidR="005A3144" w:rsidRDefault="005A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6BF9"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8272D"/>
    <w:multiLevelType w:val="hybridMultilevel"/>
    <w:tmpl w:val="C858595A"/>
    <w:lvl w:ilvl="0" w:tplc="51AA7D8A">
      <w:start w:val="1"/>
      <w:numFmt w:val="bullet"/>
      <w:lvlText w:val="o"/>
      <w:lvlJc w:val="left"/>
      <w:pPr>
        <w:ind w:left="720" w:hanging="360"/>
      </w:pPr>
      <w:rPr>
        <w:rFonts w:ascii="Courier New" w:hAnsi="Courier New" w:hint="default"/>
      </w:rPr>
    </w:lvl>
    <w:lvl w:ilvl="1" w:tplc="88DCD5A6">
      <w:start w:val="1"/>
      <w:numFmt w:val="bullet"/>
      <w:lvlText w:val="o"/>
      <w:lvlJc w:val="left"/>
      <w:pPr>
        <w:ind w:left="1440" w:hanging="360"/>
      </w:pPr>
      <w:rPr>
        <w:rFonts w:ascii="Courier New" w:hAnsi="Courier New" w:hint="default"/>
      </w:rPr>
    </w:lvl>
    <w:lvl w:ilvl="2" w:tplc="FE70BD2E">
      <w:start w:val="1"/>
      <w:numFmt w:val="bullet"/>
      <w:lvlText w:val=""/>
      <w:lvlJc w:val="left"/>
      <w:pPr>
        <w:ind w:left="2160" w:hanging="360"/>
      </w:pPr>
      <w:rPr>
        <w:rFonts w:ascii="Wingdings" w:hAnsi="Wingdings" w:hint="default"/>
      </w:rPr>
    </w:lvl>
    <w:lvl w:ilvl="3" w:tplc="0AF0EFE8">
      <w:start w:val="1"/>
      <w:numFmt w:val="bullet"/>
      <w:lvlText w:val=""/>
      <w:lvlJc w:val="left"/>
      <w:pPr>
        <w:ind w:left="2880" w:hanging="360"/>
      </w:pPr>
      <w:rPr>
        <w:rFonts w:ascii="Symbol" w:hAnsi="Symbol" w:hint="default"/>
      </w:rPr>
    </w:lvl>
    <w:lvl w:ilvl="4" w:tplc="60806320">
      <w:start w:val="1"/>
      <w:numFmt w:val="bullet"/>
      <w:lvlText w:val="o"/>
      <w:lvlJc w:val="left"/>
      <w:pPr>
        <w:ind w:left="3600" w:hanging="360"/>
      </w:pPr>
      <w:rPr>
        <w:rFonts w:ascii="Courier New" w:hAnsi="Courier New" w:hint="default"/>
      </w:rPr>
    </w:lvl>
    <w:lvl w:ilvl="5" w:tplc="4244C04C">
      <w:start w:val="1"/>
      <w:numFmt w:val="bullet"/>
      <w:lvlText w:val=""/>
      <w:lvlJc w:val="left"/>
      <w:pPr>
        <w:ind w:left="4320" w:hanging="360"/>
      </w:pPr>
      <w:rPr>
        <w:rFonts w:ascii="Wingdings" w:hAnsi="Wingdings" w:hint="default"/>
      </w:rPr>
    </w:lvl>
    <w:lvl w:ilvl="6" w:tplc="A9EEB622">
      <w:start w:val="1"/>
      <w:numFmt w:val="bullet"/>
      <w:lvlText w:val=""/>
      <w:lvlJc w:val="left"/>
      <w:pPr>
        <w:ind w:left="5040" w:hanging="360"/>
      </w:pPr>
      <w:rPr>
        <w:rFonts w:ascii="Symbol" w:hAnsi="Symbol" w:hint="default"/>
      </w:rPr>
    </w:lvl>
    <w:lvl w:ilvl="7" w:tplc="EDC2B500">
      <w:start w:val="1"/>
      <w:numFmt w:val="bullet"/>
      <w:lvlText w:val="o"/>
      <w:lvlJc w:val="left"/>
      <w:pPr>
        <w:ind w:left="5760" w:hanging="360"/>
      </w:pPr>
      <w:rPr>
        <w:rFonts w:ascii="Courier New" w:hAnsi="Courier New" w:hint="default"/>
      </w:rPr>
    </w:lvl>
    <w:lvl w:ilvl="8" w:tplc="76A86C88">
      <w:start w:val="1"/>
      <w:numFmt w:val="bullet"/>
      <w:lvlText w:val=""/>
      <w:lvlJc w:val="left"/>
      <w:pPr>
        <w:ind w:left="6480" w:hanging="360"/>
      </w:pPr>
      <w:rPr>
        <w:rFonts w:ascii="Wingdings" w:hAnsi="Wingdings" w:hint="default"/>
      </w:rPr>
    </w:lvl>
  </w:abstractNum>
  <w:abstractNum w:abstractNumId="2" w15:restartNumberingAfterBreak="0">
    <w:nsid w:val="11325819"/>
    <w:multiLevelType w:val="hybridMultilevel"/>
    <w:tmpl w:val="F26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2C6741"/>
    <w:multiLevelType w:val="hybridMultilevel"/>
    <w:tmpl w:val="EAC4E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ED2AA5"/>
    <w:multiLevelType w:val="hybridMultilevel"/>
    <w:tmpl w:val="8FA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42052C"/>
    <w:multiLevelType w:val="hybridMultilevel"/>
    <w:tmpl w:val="7668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F06476"/>
    <w:multiLevelType w:val="hybridMultilevel"/>
    <w:tmpl w:val="BDC6ED54"/>
    <w:lvl w:ilvl="0" w:tplc="0DBC49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11"/>
  </w:num>
  <w:num w:numId="2" w16cid:durableId="368842677">
    <w:abstractNumId w:val="6"/>
  </w:num>
  <w:num w:numId="3" w16cid:durableId="14234522">
    <w:abstractNumId w:val="9"/>
  </w:num>
  <w:num w:numId="4" w16cid:durableId="800147538">
    <w:abstractNumId w:val="5"/>
  </w:num>
  <w:num w:numId="5" w16cid:durableId="1480732527">
    <w:abstractNumId w:val="0"/>
  </w:num>
  <w:num w:numId="6" w16cid:durableId="517086437">
    <w:abstractNumId w:val="4"/>
  </w:num>
  <w:num w:numId="7" w16cid:durableId="1495101640">
    <w:abstractNumId w:val="8"/>
  </w:num>
  <w:num w:numId="8" w16cid:durableId="32048905">
    <w:abstractNumId w:val="7"/>
  </w:num>
  <w:num w:numId="9" w16cid:durableId="1496872198">
    <w:abstractNumId w:val="10"/>
  </w:num>
  <w:num w:numId="10" w16cid:durableId="343023160">
    <w:abstractNumId w:val="2"/>
  </w:num>
  <w:num w:numId="11" w16cid:durableId="553659735">
    <w:abstractNumId w:val="1"/>
  </w:num>
  <w:num w:numId="12" w16cid:durableId="1243836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25EBF"/>
    <w:rsid w:val="0003715D"/>
    <w:rsid w:val="0005344B"/>
    <w:rsid w:val="000536D9"/>
    <w:rsid w:val="000603E1"/>
    <w:rsid w:val="00071BD8"/>
    <w:rsid w:val="000756D7"/>
    <w:rsid w:val="00092FD7"/>
    <w:rsid w:val="00094464"/>
    <w:rsid w:val="00094EBA"/>
    <w:rsid w:val="000C5BDA"/>
    <w:rsid w:val="000D0A28"/>
    <w:rsid w:val="000D298A"/>
    <w:rsid w:val="00113BD9"/>
    <w:rsid w:val="001152D5"/>
    <w:rsid w:val="00124F24"/>
    <w:rsid w:val="00146B24"/>
    <w:rsid w:val="001528F1"/>
    <w:rsid w:val="00156A92"/>
    <w:rsid w:val="00164699"/>
    <w:rsid w:val="00167C2C"/>
    <w:rsid w:val="00193F7D"/>
    <w:rsid w:val="00195B43"/>
    <w:rsid w:val="001A6A1B"/>
    <w:rsid w:val="001C00DE"/>
    <w:rsid w:val="001D0AB7"/>
    <w:rsid w:val="001D282C"/>
    <w:rsid w:val="001E1B2A"/>
    <w:rsid w:val="001F3156"/>
    <w:rsid w:val="001F3A76"/>
    <w:rsid w:val="00205EE5"/>
    <w:rsid w:val="002115EF"/>
    <w:rsid w:val="002150EC"/>
    <w:rsid w:val="002216B9"/>
    <w:rsid w:val="002336D8"/>
    <w:rsid w:val="00234756"/>
    <w:rsid w:val="00244288"/>
    <w:rsid w:val="002576C0"/>
    <w:rsid w:val="0027793B"/>
    <w:rsid w:val="0027795C"/>
    <w:rsid w:val="00286C66"/>
    <w:rsid w:val="00295C86"/>
    <w:rsid w:val="00296ECB"/>
    <w:rsid w:val="002977D7"/>
    <w:rsid w:val="002A2E36"/>
    <w:rsid w:val="002A6CE3"/>
    <w:rsid w:val="002A7FD3"/>
    <w:rsid w:val="002B22B9"/>
    <w:rsid w:val="002D732F"/>
    <w:rsid w:val="002E43D3"/>
    <w:rsid w:val="002F58B7"/>
    <w:rsid w:val="00305B42"/>
    <w:rsid w:val="00306B20"/>
    <w:rsid w:val="0033636D"/>
    <w:rsid w:val="00346663"/>
    <w:rsid w:val="003469E2"/>
    <w:rsid w:val="0037295B"/>
    <w:rsid w:val="00373A24"/>
    <w:rsid w:val="00380B3B"/>
    <w:rsid w:val="003810F0"/>
    <w:rsid w:val="00384A62"/>
    <w:rsid w:val="00386373"/>
    <w:rsid w:val="00386F5F"/>
    <w:rsid w:val="00387D1C"/>
    <w:rsid w:val="0039328B"/>
    <w:rsid w:val="003944B1"/>
    <w:rsid w:val="003A18F2"/>
    <w:rsid w:val="003B4880"/>
    <w:rsid w:val="003C1104"/>
    <w:rsid w:val="003C2E32"/>
    <w:rsid w:val="003D1EA3"/>
    <w:rsid w:val="003D7BE8"/>
    <w:rsid w:val="003E4E90"/>
    <w:rsid w:val="003F2889"/>
    <w:rsid w:val="003F5456"/>
    <w:rsid w:val="003F6860"/>
    <w:rsid w:val="00406A8E"/>
    <w:rsid w:val="00410900"/>
    <w:rsid w:val="0041615D"/>
    <w:rsid w:val="0041637A"/>
    <w:rsid w:val="00435330"/>
    <w:rsid w:val="00442866"/>
    <w:rsid w:val="00443A94"/>
    <w:rsid w:val="00450FA4"/>
    <w:rsid w:val="00451B4E"/>
    <w:rsid w:val="00490B0E"/>
    <w:rsid w:val="004A4FE1"/>
    <w:rsid w:val="004B4E8D"/>
    <w:rsid w:val="004D44BE"/>
    <w:rsid w:val="004D4E7D"/>
    <w:rsid w:val="004F5C1A"/>
    <w:rsid w:val="00507339"/>
    <w:rsid w:val="0051629A"/>
    <w:rsid w:val="00555C72"/>
    <w:rsid w:val="00564AE7"/>
    <w:rsid w:val="00587C32"/>
    <w:rsid w:val="005A3144"/>
    <w:rsid w:val="005C0E38"/>
    <w:rsid w:val="005C692F"/>
    <w:rsid w:val="005C780F"/>
    <w:rsid w:val="005C7FB0"/>
    <w:rsid w:val="005E13CC"/>
    <w:rsid w:val="005F369C"/>
    <w:rsid w:val="00601640"/>
    <w:rsid w:val="00601C64"/>
    <w:rsid w:val="00601FC8"/>
    <w:rsid w:val="006035F2"/>
    <w:rsid w:val="00606089"/>
    <w:rsid w:val="00624F5C"/>
    <w:rsid w:val="00633485"/>
    <w:rsid w:val="00634530"/>
    <w:rsid w:val="00645809"/>
    <w:rsid w:val="0065130E"/>
    <w:rsid w:val="006521C6"/>
    <w:rsid w:val="006531C0"/>
    <w:rsid w:val="00654F14"/>
    <w:rsid w:val="00661BD5"/>
    <w:rsid w:val="00690117"/>
    <w:rsid w:val="00694E1A"/>
    <w:rsid w:val="006B5143"/>
    <w:rsid w:val="006C25B0"/>
    <w:rsid w:val="00702779"/>
    <w:rsid w:val="007027AE"/>
    <w:rsid w:val="00710F99"/>
    <w:rsid w:val="00714602"/>
    <w:rsid w:val="00721990"/>
    <w:rsid w:val="00723B34"/>
    <w:rsid w:val="0072558F"/>
    <w:rsid w:val="00725A22"/>
    <w:rsid w:val="007363A7"/>
    <w:rsid w:val="0074669C"/>
    <w:rsid w:val="00762B7C"/>
    <w:rsid w:val="0078040E"/>
    <w:rsid w:val="00783669"/>
    <w:rsid w:val="00793024"/>
    <w:rsid w:val="00793809"/>
    <w:rsid w:val="007964A5"/>
    <w:rsid w:val="007A54E4"/>
    <w:rsid w:val="007B660C"/>
    <w:rsid w:val="007B6886"/>
    <w:rsid w:val="007C3BF3"/>
    <w:rsid w:val="007C7B2E"/>
    <w:rsid w:val="007E75C7"/>
    <w:rsid w:val="00842C0A"/>
    <w:rsid w:val="00844AE3"/>
    <w:rsid w:val="00851006"/>
    <w:rsid w:val="008511B5"/>
    <w:rsid w:val="00852B44"/>
    <w:rsid w:val="00866709"/>
    <w:rsid w:val="0086742F"/>
    <w:rsid w:val="008B345A"/>
    <w:rsid w:val="008B66C5"/>
    <w:rsid w:val="008B7C84"/>
    <w:rsid w:val="008C28AF"/>
    <w:rsid w:val="008E51F7"/>
    <w:rsid w:val="00904044"/>
    <w:rsid w:val="00913095"/>
    <w:rsid w:val="009177B9"/>
    <w:rsid w:val="00920E23"/>
    <w:rsid w:val="00931A62"/>
    <w:rsid w:val="009332DE"/>
    <w:rsid w:val="00946846"/>
    <w:rsid w:val="00964F5B"/>
    <w:rsid w:val="009655AE"/>
    <w:rsid w:val="009724B7"/>
    <w:rsid w:val="009762BE"/>
    <w:rsid w:val="00986C4B"/>
    <w:rsid w:val="009E450F"/>
    <w:rsid w:val="009E5585"/>
    <w:rsid w:val="009E6133"/>
    <w:rsid w:val="009F7793"/>
    <w:rsid w:val="00A11936"/>
    <w:rsid w:val="00A15AE7"/>
    <w:rsid w:val="00A35468"/>
    <w:rsid w:val="00A365E1"/>
    <w:rsid w:val="00A415EB"/>
    <w:rsid w:val="00A460CF"/>
    <w:rsid w:val="00A52417"/>
    <w:rsid w:val="00A52424"/>
    <w:rsid w:val="00A5330E"/>
    <w:rsid w:val="00A60C1F"/>
    <w:rsid w:val="00A63DCE"/>
    <w:rsid w:val="00A67A4C"/>
    <w:rsid w:val="00A9459E"/>
    <w:rsid w:val="00A96721"/>
    <w:rsid w:val="00AA27EB"/>
    <w:rsid w:val="00AA44DF"/>
    <w:rsid w:val="00AA57D4"/>
    <w:rsid w:val="00AB54DD"/>
    <w:rsid w:val="00B0105B"/>
    <w:rsid w:val="00B17FCD"/>
    <w:rsid w:val="00B2708F"/>
    <w:rsid w:val="00B33527"/>
    <w:rsid w:val="00B42D47"/>
    <w:rsid w:val="00B547D7"/>
    <w:rsid w:val="00B55B4D"/>
    <w:rsid w:val="00B57B38"/>
    <w:rsid w:val="00B6232D"/>
    <w:rsid w:val="00B637F5"/>
    <w:rsid w:val="00B74EDD"/>
    <w:rsid w:val="00B8531D"/>
    <w:rsid w:val="00BC30EE"/>
    <w:rsid w:val="00BC40E3"/>
    <w:rsid w:val="00BC4430"/>
    <w:rsid w:val="00BF0659"/>
    <w:rsid w:val="00BF6FDF"/>
    <w:rsid w:val="00C04C96"/>
    <w:rsid w:val="00C22F9D"/>
    <w:rsid w:val="00C26E57"/>
    <w:rsid w:val="00C4348C"/>
    <w:rsid w:val="00C475F7"/>
    <w:rsid w:val="00C5677B"/>
    <w:rsid w:val="00C7027E"/>
    <w:rsid w:val="00C74107"/>
    <w:rsid w:val="00CA1D9C"/>
    <w:rsid w:val="00CB067B"/>
    <w:rsid w:val="00CB56E5"/>
    <w:rsid w:val="00CC26EB"/>
    <w:rsid w:val="00CF26FB"/>
    <w:rsid w:val="00CF28F5"/>
    <w:rsid w:val="00CF5023"/>
    <w:rsid w:val="00CF6775"/>
    <w:rsid w:val="00D02299"/>
    <w:rsid w:val="00D0694E"/>
    <w:rsid w:val="00D12781"/>
    <w:rsid w:val="00D20B59"/>
    <w:rsid w:val="00D26A97"/>
    <w:rsid w:val="00D279BF"/>
    <w:rsid w:val="00D36258"/>
    <w:rsid w:val="00D569B1"/>
    <w:rsid w:val="00D57B76"/>
    <w:rsid w:val="00D61BCF"/>
    <w:rsid w:val="00D6584B"/>
    <w:rsid w:val="00D739FB"/>
    <w:rsid w:val="00D86936"/>
    <w:rsid w:val="00D9013B"/>
    <w:rsid w:val="00D97B00"/>
    <w:rsid w:val="00D97E6E"/>
    <w:rsid w:val="00DC49AC"/>
    <w:rsid w:val="00DC6223"/>
    <w:rsid w:val="00DE2B87"/>
    <w:rsid w:val="00DF3CD9"/>
    <w:rsid w:val="00E136DB"/>
    <w:rsid w:val="00E46804"/>
    <w:rsid w:val="00E57AFC"/>
    <w:rsid w:val="00E621F2"/>
    <w:rsid w:val="00E74816"/>
    <w:rsid w:val="00E83666"/>
    <w:rsid w:val="00E878CA"/>
    <w:rsid w:val="00E90533"/>
    <w:rsid w:val="00E9625B"/>
    <w:rsid w:val="00EA138B"/>
    <w:rsid w:val="00EC1F77"/>
    <w:rsid w:val="00EC276A"/>
    <w:rsid w:val="00ED0CE7"/>
    <w:rsid w:val="00ED1B34"/>
    <w:rsid w:val="00EE22A9"/>
    <w:rsid w:val="00EF1E04"/>
    <w:rsid w:val="00F03C9E"/>
    <w:rsid w:val="00F12DA7"/>
    <w:rsid w:val="00F37605"/>
    <w:rsid w:val="00F52EF7"/>
    <w:rsid w:val="00F73706"/>
    <w:rsid w:val="00F8513E"/>
    <w:rsid w:val="00FC0C93"/>
    <w:rsid w:val="00FD03C4"/>
    <w:rsid w:val="00FD78AB"/>
    <w:rsid w:val="00FF0EDA"/>
    <w:rsid w:val="00FF4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62C142F2-2458-4930-A689-EB9CDB99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paragraph" w:styleId="Heading3">
    <w:name w:val="heading 3"/>
    <w:basedOn w:val="Normal"/>
    <w:next w:val="Normal"/>
    <w:link w:val="Heading3Char"/>
    <w:uiPriority w:val="9"/>
    <w:unhideWhenUsed/>
    <w:qFormat/>
    <w:rsid w:val="00D26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ListParagraph">
    <w:name w:val="List Paragraph"/>
    <w:basedOn w:val="Normal"/>
    <w:uiPriority w:val="34"/>
    <w:qFormat/>
    <w:rsid w:val="007964A5"/>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D26A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actus@mineland.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65250C11-AB1A-491A-9035-B65214EBCC4F}">
  <ds:schemaRefs>
    <ds:schemaRef ds:uri="http://schemas.microsoft.com/sharepoint/v3/contenttype/forms"/>
  </ds:schemaRefs>
</ds:datastoreItem>
</file>

<file path=customXml/itemProps2.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4.xml><?xml version="1.0" encoding="utf-8"?>
<ds:datastoreItem xmlns:ds="http://schemas.openxmlformats.org/officeDocument/2006/customXml" ds:itemID="{FD1804A3-C7FA-4901-8A88-817F51EF28F6}">
  <ds:schemaRefs>
    <ds:schemaRef ds:uri="http://schemas.microsoft.com/sharepoint/events"/>
  </ds:schemaRefs>
</ds:datastoreItem>
</file>

<file path=customXml/itemProps5.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6.xml><?xml version="1.0" encoding="utf-8"?>
<ds:datastoreItem xmlns:ds="http://schemas.openxmlformats.org/officeDocument/2006/customXml" ds:itemID="{03154357-E4E9-4D26-A20B-A895507A66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477</Words>
  <Characters>2723</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10</cp:revision>
  <cp:lastPrinted>2024-05-28T05:29:00Z</cp:lastPrinted>
  <dcterms:created xsi:type="dcterms:W3CDTF">2024-07-11T23:43:00Z</dcterms:created>
  <dcterms:modified xsi:type="dcterms:W3CDTF">2024-07-11T23:50:00Z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2024-07-11T23:43:19Z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4d1a359a-3561-4348-a9f0-0230927e83c3</vt:lpwstr>
  </property>
  <property fmtid="{D5CDD505-2E9C-101B-9397-08002B2CF9AE}" pid="10" name="MSIP_Label_4257e2ab-f512-40e2-9c9a-c64247360765_ContentBits">
    <vt:lpwstr>2</vt:lpwstr>
  </property>
</Properties>
</file>