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344C" w14:textId="260417F8" w:rsidR="00986C4B" w:rsidRDefault="00986C4B"/>
    <w:p w14:paraId="24DFE224" w14:textId="0DBE97B4" w:rsidR="00D97E6E" w:rsidRPr="00205EE5" w:rsidRDefault="00D97E6E" w:rsidP="00D97E6E">
      <w:pPr>
        <w:pStyle w:val="Heading1"/>
        <w:rPr>
          <w:color w:val="0070C0"/>
        </w:rPr>
      </w:pPr>
      <w:r w:rsidRPr="00205EE5">
        <w:rPr>
          <w:color w:val="0070C0"/>
        </w:rPr>
        <w:t>What</w:t>
      </w:r>
      <w:r w:rsidR="00EE22A9" w:rsidRPr="00205EE5">
        <w:rPr>
          <w:color w:val="0070C0"/>
        </w:rPr>
        <w:t xml:space="preserve"> is a Monitoring </w:t>
      </w:r>
      <w:r w:rsidR="00A67A4C">
        <w:rPr>
          <w:color w:val="0070C0"/>
        </w:rPr>
        <w:t xml:space="preserve">and </w:t>
      </w:r>
      <w:r w:rsidR="00EE22A9" w:rsidRPr="00205EE5">
        <w:rPr>
          <w:color w:val="0070C0"/>
        </w:rPr>
        <w:t>Evaluation Framework</w:t>
      </w:r>
      <w:r w:rsidRPr="00205EE5">
        <w:rPr>
          <w:color w:val="0070C0"/>
        </w:rPr>
        <w:t>?</w:t>
      </w:r>
    </w:p>
    <w:p w14:paraId="4E878227" w14:textId="079376CF" w:rsidR="009E450F" w:rsidRPr="009E450F" w:rsidRDefault="009E450F" w:rsidP="003F2889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9E450F">
        <w:rPr>
          <w:rStyle w:val="normaltextrun"/>
          <w:rFonts w:ascii="Arial" w:hAnsi="Arial" w:cs="Arial"/>
          <w:sz w:val="22"/>
          <w:szCs w:val="22"/>
        </w:rPr>
        <w:t>The M</w:t>
      </w:r>
      <w:r w:rsidR="009655AE">
        <w:rPr>
          <w:rStyle w:val="normaltextrun"/>
          <w:rFonts w:ascii="Arial" w:hAnsi="Arial" w:cs="Arial"/>
          <w:sz w:val="22"/>
          <w:szCs w:val="22"/>
        </w:rPr>
        <w:t>ine Land Rehabilitation Authority (MLRA)</w:t>
      </w:r>
      <w:r w:rsidRPr="009E450F">
        <w:rPr>
          <w:rStyle w:val="normaltextrun"/>
          <w:rFonts w:ascii="Arial" w:hAnsi="Arial" w:cs="Arial"/>
          <w:sz w:val="22"/>
          <w:szCs w:val="22"/>
        </w:rPr>
        <w:t xml:space="preserve"> is required to develop and maintain, in consultation with the community, stakeholders, public sector bodies and Latrobe Valley </w:t>
      </w:r>
      <w:r w:rsidR="00F03C9E">
        <w:rPr>
          <w:rStyle w:val="normaltextrun"/>
          <w:rFonts w:ascii="Arial" w:hAnsi="Arial" w:cs="Arial"/>
          <w:sz w:val="22"/>
          <w:szCs w:val="22"/>
        </w:rPr>
        <w:t xml:space="preserve">mine </w:t>
      </w:r>
      <w:r w:rsidRPr="009E450F">
        <w:rPr>
          <w:rStyle w:val="normaltextrun"/>
          <w:rFonts w:ascii="Arial" w:hAnsi="Arial" w:cs="Arial"/>
          <w:sz w:val="22"/>
          <w:szCs w:val="22"/>
        </w:rPr>
        <w:t>licensees, a framework for:</w:t>
      </w:r>
      <w:r w:rsidRPr="009E450F">
        <w:rPr>
          <w:rStyle w:val="eop"/>
          <w:rFonts w:ascii="Arial" w:hAnsi="Arial" w:cs="Arial"/>
          <w:sz w:val="22"/>
          <w:szCs w:val="22"/>
        </w:rPr>
        <w:t> </w:t>
      </w:r>
    </w:p>
    <w:p w14:paraId="3F98E4BD" w14:textId="513C9F1C" w:rsidR="009E450F" w:rsidRPr="009E450F" w:rsidRDefault="009E450F" w:rsidP="0033636D">
      <w:pPr>
        <w:pStyle w:val="CommentText"/>
        <w:numPr>
          <w:ilvl w:val="0"/>
          <w:numId w:val="2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9E450F">
        <w:rPr>
          <w:color w:val="000000" w:themeColor="text1"/>
          <w:sz w:val="22"/>
          <w:szCs w:val="22"/>
        </w:rPr>
        <w:t xml:space="preserve">the monitoring and evaluation of the implementation and effectiveness of rehabilitation planning activities and the </w:t>
      </w:r>
      <w:r w:rsidR="00E90533">
        <w:rPr>
          <w:color w:val="000000" w:themeColor="text1"/>
          <w:sz w:val="22"/>
          <w:szCs w:val="22"/>
        </w:rPr>
        <w:t>Latrobe Valley R</w:t>
      </w:r>
      <w:r w:rsidRPr="009E450F">
        <w:rPr>
          <w:color w:val="000000" w:themeColor="text1"/>
          <w:sz w:val="22"/>
          <w:szCs w:val="22"/>
        </w:rPr>
        <w:t xml:space="preserve">egional </w:t>
      </w:r>
      <w:r w:rsidR="00E90533">
        <w:rPr>
          <w:color w:val="000000" w:themeColor="text1"/>
          <w:sz w:val="22"/>
          <w:szCs w:val="22"/>
        </w:rPr>
        <w:t>R</w:t>
      </w:r>
      <w:r w:rsidRPr="009E450F">
        <w:rPr>
          <w:color w:val="000000" w:themeColor="text1"/>
          <w:sz w:val="22"/>
          <w:szCs w:val="22"/>
        </w:rPr>
        <w:t xml:space="preserve">ehabilitation </w:t>
      </w:r>
      <w:r w:rsidR="00E90533">
        <w:rPr>
          <w:color w:val="000000" w:themeColor="text1"/>
          <w:sz w:val="22"/>
          <w:szCs w:val="22"/>
        </w:rPr>
        <w:t>S</w:t>
      </w:r>
      <w:r w:rsidRPr="009E450F">
        <w:rPr>
          <w:color w:val="000000" w:themeColor="text1"/>
          <w:sz w:val="22"/>
          <w:szCs w:val="22"/>
        </w:rPr>
        <w:t>trategy (LVRRS); and, </w:t>
      </w:r>
    </w:p>
    <w:p w14:paraId="678C06F1" w14:textId="259CFA0A" w:rsidR="009E450F" w:rsidRPr="009E450F" w:rsidRDefault="009E450F" w:rsidP="0033636D">
      <w:pPr>
        <w:pStyle w:val="CommentText"/>
        <w:numPr>
          <w:ilvl w:val="0"/>
          <w:numId w:val="2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9E450F">
        <w:rPr>
          <w:color w:val="000000" w:themeColor="text1"/>
          <w:sz w:val="22"/>
          <w:szCs w:val="22"/>
        </w:rPr>
        <w:t xml:space="preserve">the achieving of the outcomes set out in the </w:t>
      </w:r>
      <w:r w:rsidR="00384A62">
        <w:rPr>
          <w:color w:val="000000" w:themeColor="text1"/>
          <w:sz w:val="22"/>
          <w:szCs w:val="22"/>
        </w:rPr>
        <w:t>Monitoring and Evalua</w:t>
      </w:r>
      <w:r w:rsidR="00A67A4C">
        <w:rPr>
          <w:color w:val="000000" w:themeColor="text1"/>
          <w:sz w:val="22"/>
          <w:szCs w:val="22"/>
        </w:rPr>
        <w:t>tion Framework</w:t>
      </w:r>
      <w:r w:rsidR="00587C32">
        <w:rPr>
          <w:color w:val="000000" w:themeColor="text1"/>
          <w:sz w:val="22"/>
          <w:szCs w:val="22"/>
        </w:rPr>
        <w:t>()</w:t>
      </w:r>
      <w:r w:rsidRPr="009E450F">
        <w:rPr>
          <w:color w:val="000000" w:themeColor="text1"/>
          <w:sz w:val="22"/>
          <w:szCs w:val="22"/>
        </w:rPr>
        <w:t>; and, </w:t>
      </w:r>
    </w:p>
    <w:p w14:paraId="6A4703F8" w14:textId="77777777" w:rsidR="009E450F" w:rsidRPr="009E450F" w:rsidRDefault="009E450F" w:rsidP="003F2889">
      <w:pPr>
        <w:pStyle w:val="CommentText"/>
        <w:ind w:right="-541"/>
        <w:rPr>
          <w:rStyle w:val="eop"/>
          <w:sz w:val="22"/>
          <w:szCs w:val="22"/>
        </w:rPr>
      </w:pPr>
      <w:r w:rsidRPr="009E450F">
        <w:rPr>
          <w:color w:val="000000" w:themeColor="text1"/>
          <w:sz w:val="22"/>
          <w:szCs w:val="22"/>
        </w:rPr>
        <w:t>This is in accordance with our requirements under</w:t>
      </w:r>
      <w:r w:rsidRPr="009E450F">
        <w:rPr>
          <w:rStyle w:val="normaltextrun"/>
          <w:sz w:val="22"/>
          <w:szCs w:val="22"/>
        </w:rPr>
        <w:t xml:space="preserve"> the Mineral Resources (Sustainable Development) Act 1990 (MRSDA) S.84AL(1)(n), S.84AZC &amp; S.84AZD. </w:t>
      </w:r>
    </w:p>
    <w:p w14:paraId="42A9508D" w14:textId="1231299A" w:rsidR="000536D9" w:rsidRPr="009E5585" w:rsidRDefault="009E450F" w:rsidP="003F2889">
      <w:pPr>
        <w:pStyle w:val="CommentText"/>
        <w:ind w:right="-541"/>
        <w:rPr>
          <w:color w:val="000000" w:themeColor="text1"/>
          <w:sz w:val="22"/>
          <w:szCs w:val="22"/>
        </w:rPr>
      </w:pPr>
      <w:r w:rsidRPr="009E5585">
        <w:rPr>
          <w:color w:val="000000" w:themeColor="text1"/>
          <w:sz w:val="22"/>
          <w:szCs w:val="22"/>
        </w:rPr>
        <w:t xml:space="preserve">Version 1 of the </w:t>
      </w:r>
      <w:r w:rsidR="00BC40E3" w:rsidRPr="009E5585">
        <w:rPr>
          <w:color w:val="000000" w:themeColor="text1"/>
          <w:sz w:val="22"/>
          <w:szCs w:val="22"/>
        </w:rPr>
        <w:t xml:space="preserve">Monitoring and Evaluation Framework </w:t>
      </w:r>
      <w:r w:rsidRPr="009E5585">
        <w:rPr>
          <w:color w:val="000000" w:themeColor="text1"/>
          <w:sz w:val="22"/>
          <w:szCs w:val="22"/>
        </w:rPr>
        <w:t xml:space="preserve">was released in 2022. Version 2 has been amended to reflect changes to how we carry out our work and our how we have structured our organisation. </w:t>
      </w:r>
    </w:p>
    <w:p w14:paraId="6406B434" w14:textId="503E2890" w:rsidR="0039328B" w:rsidRPr="00205EE5" w:rsidRDefault="007B660C" w:rsidP="003F2889">
      <w:pPr>
        <w:pStyle w:val="Heading2"/>
        <w:rPr>
          <w:color w:val="0070C0"/>
          <w:sz w:val="22"/>
          <w:szCs w:val="22"/>
        </w:rPr>
      </w:pPr>
      <w:r w:rsidRPr="00205EE5">
        <w:rPr>
          <w:color w:val="0070C0"/>
          <w:sz w:val="22"/>
          <w:szCs w:val="22"/>
        </w:rPr>
        <w:t>Wh</w:t>
      </w:r>
      <w:r w:rsidR="007C7B2E" w:rsidRPr="00205EE5">
        <w:rPr>
          <w:color w:val="0070C0"/>
          <w:sz w:val="22"/>
          <w:szCs w:val="22"/>
        </w:rPr>
        <w:t>o are the stakeholders</w:t>
      </w:r>
      <w:r w:rsidRPr="00205EE5">
        <w:rPr>
          <w:color w:val="0070C0"/>
          <w:sz w:val="22"/>
          <w:szCs w:val="22"/>
        </w:rPr>
        <w:t>?</w:t>
      </w:r>
    </w:p>
    <w:p w14:paraId="43FC753B" w14:textId="4960C7E5" w:rsidR="007C7B2E" w:rsidRPr="007C7B2E" w:rsidRDefault="007C7B2E" w:rsidP="00306B20">
      <w:pPr>
        <w:spacing w:line="240" w:lineRule="auto"/>
        <w:ind w:right="-541"/>
        <w:rPr>
          <w:rFonts w:ascii="Arial" w:hAnsi="Arial" w:cs="Arial"/>
          <w:color w:val="000000" w:themeColor="text1"/>
        </w:rPr>
      </w:pPr>
      <w:r w:rsidRPr="007C7B2E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The </w:t>
      </w:r>
      <w:r w:rsidR="00BC40E3">
        <w:rPr>
          <w:rStyle w:val="normaltextrun"/>
          <w:rFonts w:ascii="Arial" w:hAnsi="Arial" w:cs="Arial"/>
          <w:color w:val="404040"/>
          <w:shd w:val="clear" w:color="auto" w:fill="FFFFFF"/>
        </w:rPr>
        <w:t>Monitoring and Evaluation Framework</w:t>
      </w:r>
      <w:r w:rsidR="00BC40E3" w:rsidRPr="007C7B2E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 </w:t>
      </w:r>
      <w:r w:rsidR="00A15AE7">
        <w:rPr>
          <w:rStyle w:val="normaltextrun"/>
          <w:rFonts w:ascii="Arial" w:hAnsi="Arial" w:cs="Arial"/>
          <w:color w:val="404040"/>
          <w:shd w:val="clear" w:color="auto" w:fill="FFFFFF"/>
        </w:rPr>
        <w:t>monitors and</w:t>
      </w:r>
      <w:r w:rsidRPr="007C7B2E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 evaluates the stakeholder groups responsible for declared mine rehabilitation planning and execution. These are</w:t>
      </w:r>
      <w:r w:rsidRPr="007C7B2E">
        <w:rPr>
          <w:rFonts w:ascii="Arial" w:hAnsi="Arial" w:cs="Arial"/>
          <w:color w:val="000000" w:themeColor="text1"/>
        </w:rPr>
        <w:t>:</w:t>
      </w:r>
    </w:p>
    <w:p w14:paraId="472A3B30" w14:textId="4B2A953C" w:rsidR="007C7B2E" w:rsidRPr="007C7B2E" w:rsidRDefault="007C7B2E" w:rsidP="00306B20">
      <w:pPr>
        <w:pStyle w:val="CommentText"/>
        <w:numPr>
          <w:ilvl w:val="0"/>
          <w:numId w:val="3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7C7B2E">
        <w:rPr>
          <w:color w:val="000000" w:themeColor="text1"/>
          <w:sz w:val="22"/>
          <w:szCs w:val="22"/>
        </w:rPr>
        <w:t xml:space="preserve">Owners and operators of the three Latrobe Valley </w:t>
      </w:r>
      <w:r w:rsidR="00A15AE7">
        <w:rPr>
          <w:color w:val="000000" w:themeColor="text1"/>
          <w:sz w:val="22"/>
          <w:szCs w:val="22"/>
        </w:rPr>
        <w:t>declared</w:t>
      </w:r>
      <w:r w:rsidRPr="007C7B2E">
        <w:rPr>
          <w:color w:val="000000" w:themeColor="text1"/>
          <w:sz w:val="22"/>
          <w:szCs w:val="22"/>
        </w:rPr>
        <w:t xml:space="preserve"> mines, </w:t>
      </w:r>
    </w:p>
    <w:p w14:paraId="3A2D89B6" w14:textId="336A597A" w:rsidR="007C7B2E" w:rsidRPr="007C7B2E" w:rsidRDefault="00327371" w:rsidP="00306B20">
      <w:pPr>
        <w:pStyle w:val="CommentText"/>
        <w:numPr>
          <w:ilvl w:val="0"/>
          <w:numId w:val="3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327371">
        <w:rPr>
          <w:color w:val="000000" w:themeColor="text1"/>
          <w:sz w:val="22"/>
          <w:szCs w:val="22"/>
        </w:rPr>
        <w:t>those who have accountability for the LVRRS</w:t>
      </w:r>
      <w:r>
        <w:rPr>
          <w:color w:val="000000" w:themeColor="text1"/>
          <w:sz w:val="22"/>
          <w:szCs w:val="22"/>
        </w:rPr>
        <w:t xml:space="preserve"> </w:t>
      </w:r>
      <w:r w:rsidR="007C7B2E" w:rsidRPr="007C7B2E">
        <w:rPr>
          <w:color w:val="000000" w:themeColor="text1"/>
          <w:sz w:val="22"/>
          <w:szCs w:val="22"/>
        </w:rPr>
        <w:t xml:space="preserve">and </w:t>
      </w:r>
    </w:p>
    <w:p w14:paraId="0008ECD4" w14:textId="77777777" w:rsidR="007C7B2E" w:rsidRPr="007C7B2E" w:rsidRDefault="007C7B2E" w:rsidP="00306B20">
      <w:pPr>
        <w:pStyle w:val="CommentText"/>
        <w:numPr>
          <w:ilvl w:val="0"/>
          <w:numId w:val="3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7C7B2E">
        <w:rPr>
          <w:color w:val="000000" w:themeColor="text1"/>
          <w:sz w:val="22"/>
          <w:szCs w:val="22"/>
        </w:rPr>
        <w:t>some public sector bodies and regulators.</w:t>
      </w:r>
    </w:p>
    <w:p w14:paraId="7E742483" w14:textId="31C1713A" w:rsidR="003A18F2" w:rsidRDefault="007C7B2E" w:rsidP="00305B42">
      <w:pPr>
        <w:spacing w:line="276" w:lineRule="auto"/>
        <w:ind w:right="-541"/>
        <w:rPr>
          <w:rStyle w:val="normaltextrun"/>
          <w:rFonts w:ascii="Arial" w:hAnsi="Arial" w:cs="Arial"/>
          <w:color w:val="404040"/>
          <w:shd w:val="clear" w:color="auto" w:fill="FFFFFF"/>
        </w:rPr>
      </w:pPr>
      <w:r w:rsidRPr="007C7B2E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Other stakeholders, such as community groups and </w:t>
      </w:r>
      <w:r w:rsidRPr="007C7B2E">
        <w:rPr>
          <w:rStyle w:val="findhit"/>
          <w:rFonts w:ascii="Arial" w:hAnsi="Arial" w:cs="Arial"/>
          <w:color w:val="404040"/>
        </w:rPr>
        <w:t>Traditional Owners</w:t>
      </w:r>
      <w:r w:rsidRPr="007C7B2E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, must be involved in declared mine rehabilitation planning processes but are not </w:t>
      </w:r>
      <w:r w:rsidR="00A15AE7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monitored or </w:t>
      </w:r>
      <w:r w:rsidRPr="007C7B2E">
        <w:rPr>
          <w:rStyle w:val="normaltextrun"/>
          <w:rFonts w:ascii="Arial" w:hAnsi="Arial" w:cs="Arial"/>
          <w:color w:val="404040"/>
          <w:shd w:val="clear" w:color="auto" w:fill="FFFFFF"/>
        </w:rPr>
        <w:t>evaluated, as they are not legally responsible for delivering the plans or outcomes. </w:t>
      </w:r>
      <w:r w:rsidR="008511B5">
        <w:rPr>
          <w:rStyle w:val="normaltextrun"/>
          <w:rFonts w:ascii="Arial" w:hAnsi="Arial" w:cs="Arial"/>
          <w:color w:val="404040"/>
          <w:shd w:val="clear" w:color="auto" w:fill="FFFFFF"/>
        </w:rPr>
        <w:t>The MLRA are</w:t>
      </w:r>
      <w:r w:rsidR="00BF0659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 legislatively required to educate and inform these groups about the rehabilitation of Victoria’s declared mines, this is managed through </w:t>
      </w:r>
      <w:r w:rsidR="00C26E57">
        <w:rPr>
          <w:rStyle w:val="normaltextrun"/>
          <w:rFonts w:ascii="Arial" w:hAnsi="Arial" w:cs="Arial"/>
          <w:color w:val="404040"/>
          <w:shd w:val="clear" w:color="auto" w:fill="FFFFFF"/>
        </w:rPr>
        <w:t>the MLRA’s Engagement and Education Plan.</w:t>
      </w:r>
      <w:r w:rsidR="00BF0659">
        <w:rPr>
          <w:rStyle w:val="normaltextrun"/>
          <w:rFonts w:ascii="Arial" w:hAnsi="Arial" w:cs="Arial"/>
          <w:color w:val="404040"/>
          <w:shd w:val="clear" w:color="auto" w:fill="FFFFFF"/>
        </w:rPr>
        <w:t xml:space="preserve"> </w:t>
      </w:r>
    </w:p>
    <w:p w14:paraId="6218419F" w14:textId="6EEC37E6" w:rsidR="005C692F" w:rsidRPr="00205EE5" w:rsidRDefault="005C692F" w:rsidP="005C692F">
      <w:pPr>
        <w:pStyle w:val="Heading2"/>
        <w:rPr>
          <w:color w:val="0070C0"/>
          <w:sz w:val="22"/>
          <w:szCs w:val="22"/>
        </w:rPr>
      </w:pPr>
      <w:r w:rsidRPr="00205EE5">
        <w:rPr>
          <w:color w:val="0070C0"/>
          <w:sz w:val="22"/>
          <w:szCs w:val="22"/>
        </w:rPr>
        <w:t>What does the framework focus on?</w:t>
      </w:r>
    </w:p>
    <w:p w14:paraId="5B595BC8" w14:textId="77777777" w:rsidR="008C28AF" w:rsidRPr="008C28AF" w:rsidRDefault="008C28AF" w:rsidP="008C28AF">
      <w:pPr>
        <w:pStyle w:val="CommentText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t>The MLRA focuses on specific areas with our stakeholders.</w:t>
      </w:r>
    </w:p>
    <w:p w14:paraId="0E22E120" w14:textId="77777777" w:rsidR="008C28AF" w:rsidRPr="008C28AF" w:rsidRDefault="008C28AF" w:rsidP="008C28AF">
      <w:pPr>
        <w:pStyle w:val="CommentText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t>For the declared mine licensees these areas include:</w:t>
      </w:r>
    </w:p>
    <w:p w14:paraId="6B233774" w14:textId="019A0E81" w:rsidR="008C28AF" w:rsidRPr="008C28AF" w:rsidRDefault="008C28AF" w:rsidP="00306B20">
      <w:pPr>
        <w:pStyle w:val="CommentText"/>
        <w:numPr>
          <w:ilvl w:val="0"/>
          <w:numId w:val="4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t>the</w:t>
      </w:r>
      <w:r w:rsidR="00306B20">
        <w:rPr>
          <w:color w:val="000000" w:themeColor="text1"/>
          <w:sz w:val="22"/>
          <w:szCs w:val="22"/>
        </w:rPr>
        <w:t xml:space="preserve"> mine licensee</w:t>
      </w:r>
      <w:r w:rsidR="00B0105B">
        <w:rPr>
          <w:color w:val="000000" w:themeColor="text1"/>
          <w:sz w:val="22"/>
          <w:szCs w:val="22"/>
        </w:rPr>
        <w:t>s’</w:t>
      </w:r>
      <w:r w:rsidR="00306B20">
        <w:rPr>
          <w:color w:val="000000" w:themeColor="text1"/>
          <w:sz w:val="22"/>
          <w:szCs w:val="22"/>
        </w:rPr>
        <w:t xml:space="preserve"> </w:t>
      </w:r>
      <w:r w:rsidRPr="008C28AF">
        <w:rPr>
          <w:color w:val="000000" w:themeColor="text1"/>
          <w:sz w:val="22"/>
          <w:szCs w:val="22"/>
        </w:rPr>
        <w:t xml:space="preserve">community engagement </w:t>
      </w:r>
    </w:p>
    <w:p w14:paraId="4C0D4EC2" w14:textId="77777777" w:rsidR="00D86936" w:rsidRDefault="008C28AF" w:rsidP="00306B20">
      <w:pPr>
        <w:pStyle w:val="CommentText"/>
        <w:numPr>
          <w:ilvl w:val="0"/>
          <w:numId w:val="4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t>development of the</w:t>
      </w:r>
      <w:r w:rsidR="00306B20">
        <w:rPr>
          <w:color w:val="000000" w:themeColor="text1"/>
          <w:sz w:val="22"/>
          <w:szCs w:val="22"/>
        </w:rPr>
        <w:t>ir</w:t>
      </w:r>
      <w:r w:rsidRPr="008C28AF">
        <w:rPr>
          <w:color w:val="000000" w:themeColor="text1"/>
          <w:sz w:val="22"/>
          <w:szCs w:val="22"/>
        </w:rPr>
        <w:t xml:space="preserve"> Declared Mine Rehabilitation Plan, and</w:t>
      </w:r>
      <w:r w:rsidR="00D86936">
        <w:rPr>
          <w:color w:val="000000" w:themeColor="text1"/>
          <w:sz w:val="22"/>
          <w:szCs w:val="22"/>
        </w:rPr>
        <w:t xml:space="preserve"> </w:t>
      </w:r>
    </w:p>
    <w:p w14:paraId="41134B23" w14:textId="42B4ED5F" w:rsidR="008C28AF" w:rsidRPr="008C28AF" w:rsidRDefault="00D86936" w:rsidP="00306B20">
      <w:pPr>
        <w:pStyle w:val="CommentText"/>
        <w:numPr>
          <w:ilvl w:val="0"/>
          <w:numId w:val="4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rehabilitation planning and implementation </w:t>
      </w:r>
      <w:r w:rsidR="001D0AB7">
        <w:rPr>
          <w:color w:val="000000" w:themeColor="text1"/>
          <w:sz w:val="22"/>
          <w:szCs w:val="22"/>
        </w:rPr>
        <w:t>and</w:t>
      </w:r>
      <w:r w:rsidR="008C28AF" w:rsidRPr="008C28AF">
        <w:rPr>
          <w:color w:val="000000" w:themeColor="text1"/>
          <w:sz w:val="22"/>
          <w:szCs w:val="22"/>
        </w:rPr>
        <w:t xml:space="preserve"> </w:t>
      </w:r>
    </w:p>
    <w:p w14:paraId="1C364A12" w14:textId="591F62E0" w:rsidR="008C28AF" w:rsidRPr="008C28AF" w:rsidRDefault="00CB56E5" w:rsidP="00306B20">
      <w:pPr>
        <w:pStyle w:val="CommentText"/>
        <w:numPr>
          <w:ilvl w:val="0"/>
          <w:numId w:val="4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where relevant, </w:t>
      </w:r>
      <w:r w:rsidR="00306B20">
        <w:rPr>
          <w:color w:val="000000" w:themeColor="text1"/>
          <w:sz w:val="22"/>
          <w:szCs w:val="22"/>
        </w:rPr>
        <w:t>t</w:t>
      </w:r>
      <w:r w:rsidR="008C28AF" w:rsidRPr="008C28AF">
        <w:rPr>
          <w:color w:val="000000" w:themeColor="text1"/>
          <w:sz w:val="22"/>
          <w:szCs w:val="22"/>
        </w:rPr>
        <w:t>h</w:t>
      </w:r>
      <w:r w:rsidR="00306B20">
        <w:rPr>
          <w:color w:val="000000" w:themeColor="text1"/>
          <w:sz w:val="22"/>
          <w:szCs w:val="22"/>
        </w:rPr>
        <w:t>e mine licensee</w:t>
      </w:r>
      <w:r w:rsidR="00D0694E">
        <w:rPr>
          <w:color w:val="000000" w:themeColor="text1"/>
          <w:sz w:val="22"/>
          <w:szCs w:val="22"/>
        </w:rPr>
        <w:t>s’</w:t>
      </w:r>
      <w:r w:rsidR="008C28AF" w:rsidRPr="008C28AF">
        <w:rPr>
          <w:color w:val="000000" w:themeColor="text1"/>
          <w:sz w:val="22"/>
          <w:szCs w:val="22"/>
        </w:rPr>
        <w:t xml:space="preserve"> participation in an Environmental Effects Statement. </w:t>
      </w:r>
    </w:p>
    <w:p w14:paraId="69C44B89" w14:textId="5E8EFA31" w:rsidR="008C28AF" w:rsidRPr="008C28AF" w:rsidRDefault="008C28AF" w:rsidP="008C28AF">
      <w:pPr>
        <w:pStyle w:val="CommentText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t>For public sector bodies the focus areas include:</w:t>
      </w:r>
    </w:p>
    <w:p w14:paraId="71F93181" w14:textId="30F73054" w:rsidR="00CB56E5" w:rsidRPr="008C28AF" w:rsidRDefault="00F5446B" w:rsidP="00CB56E5">
      <w:pPr>
        <w:pStyle w:val="CommentText"/>
        <w:numPr>
          <w:ilvl w:val="0"/>
          <w:numId w:val="5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</w:t>
      </w:r>
      <w:r w:rsidRPr="00F5446B">
        <w:rPr>
          <w:color w:val="000000" w:themeColor="text1"/>
          <w:sz w:val="22"/>
          <w:szCs w:val="22"/>
        </w:rPr>
        <w:t>onitoring the implementation of the LVRRS</w:t>
      </w:r>
    </w:p>
    <w:p w14:paraId="2155809F" w14:textId="77777777" w:rsidR="00CB56E5" w:rsidRPr="008C28AF" w:rsidRDefault="00CB56E5" w:rsidP="00CB56E5">
      <w:pPr>
        <w:pStyle w:val="CommentText"/>
        <w:numPr>
          <w:ilvl w:val="0"/>
          <w:numId w:val="5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Pr="008C28AF">
        <w:rPr>
          <w:color w:val="000000" w:themeColor="text1"/>
          <w:sz w:val="22"/>
          <w:szCs w:val="22"/>
        </w:rPr>
        <w:t xml:space="preserve">bility of the legislation &amp; policy to be implemented. </w:t>
      </w:r>
    </w:p>
    <w:p w14:paraId="2A92AD0C" w14:textId="2BDC12B9" w:rsidR="008C28AF" w:rsidRPr="008C28AF" w:rsidRDefault="00C74107" w:rsidP="00306B20">
      <w:pPr>
        <w:pStyle w:val="CommentText"/>
        <w:numPr>
          <w:ilvl w:val="0"/>
          <w:numId w:val="5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8C28AF" w:rsidRPr="008C28AF">
        <w:rPr>
          <w:color w:val="000000" w:themeColor="text1"/>
          <w:sz w:val="22"/>
          <w:szCs w:val="22"/>
        </w:rPr>
        <w:t>ommunity engagement (where relevant)</w:t>
      </w:r>
    </w:p>
    <w:p w14:paraId="0C94404F" w14:textId="77777777" w:rsidR="008C28AF" w:rsidRPr="008C28AF" w:rsidRDefault="008C28AF" w:rsidP="008C28AF">
      <w:pPr>
        <w:pStyle w:val="CommentText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lastRenderedPageBreak/>
        <w:t xml:space="preserve">For each of these the framework outlines: </w:t>
      </w:r>
    </w:p>
    <w:p w14:paraId="2E73D950" w14:textId="77777777" w:rsidR="008C28AF" w:rsidRPr="008C28AF" w:rsidRDefault="008C28AF" w:rsidP="00306B20">
      <w:pPr>
        <w:pStyle w:val="CommentText"/>
        <w:numPr>
          <w:ilvl w:val="0"/>
          <w:numId w:val="6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t>the key activities that the MLRA will undertake to monitor and evaluate progression,</w:t>
      </w:r>
    </w:p>
    <w:p w14:paraId="0916AB85" w14:textId="10CB9BA4" w:rsidR="00EC1F77" w:rsidRPr="00305B42" w:rsidRDefault="008C28AF" w:rsidP="00306B20">
      <w:pPr>
        <w:pStyle w:val="CommentText"/>
        <w:numPr>
          <w:ilvl w:val="0"/>
          <w:numId w:val="6"/>
        </w:numPr>
        <w:spacing w:line="240" w:lineRule="auto"/>
        <w:ind w:right="-541"/>
        <w:rPr>
          <w:color w:val="000000" w:themeColor="text1"/>
          <w:sz w:val="22"/>
          <w:szCs w:val="22"/>
        </w:rPr>
      </w:pPr>
      <w:r w:rsidRPr="008C28AF">
        <w:rPr>
          <w:color w:val="000000" w:themeColor="text1"/>
          <w:sz w:val="22"/>
          <w:szCs w:val="22"/>
        </w:rPr>
        <w:t xml:space="preserve">what the timing of the MLRA activities </w:t>
      </w:r>
      <w:r w:rsidR="00306B20">
        <w:rPr>
          <w:color w:val="000000" w:themeColor="text1"/>
          <w:sz w:val="22"/>
          <w:szCs w:val="22"/>
        </w:rPr>
        <w:t>are</w:t>
      </w:r>
      <w:r w:rsidRPr="008C28AF">
        <w:rPr>
          <w:color w:val="000000" w:themeColor="text1"/>
          <w:sz w:val="22"/>
          <w:szCs w:val="22"/>
        </w:rPr>
        <w:t xml:space="preserve"> and </w:t>
      </w:r>
      <w:r w:rsidRPr="002216B9">
        <w:rPr>
          <w:color w:val="000000" w:themeColor="text1"/>
          <w:sz w:val="22"/>
          <w:szCs w:val="22"/>
        </w:rPr>
        <w:t>how the MLRA will report on the findings</w:t>
      </w:r>
      <w:r w:rsidR="00F52EF7" w:rsidRPr="00F03C9E">
        <w:t xml:space="preserve">. </w:t>
      </w:r>
    </w:p>
    <w:p w14:paraId="77D34AA6" w14:textId="77777777" w:rsidR="00305B42" w:rsidRPr="00305B42" w:rsidRDefault="00305B42" w:rsidP="00305B42">
      <w:pPr>
        <w:pStyle w:val="CommentText"/>
        <w:ind w:left="720" w:right="-541"/>
        <w:rPr>
          <w:color w:val="000000" w:themeColor="text1"/>
          <w:sz w:val="22"/>
          <w:szCs w:val="22"/>
        </w:rPr>
      </w:pPr>
    </w:p>
    <w:p w14:paraId="485E9116" w14:textId="5C763BDA" w:rsidR="00305B42" w:rsidRDefault="00305B42" w:rsidP="00305B42">
      <w:pPr>
        <w:pStyle w:val="CommentText"/>
        <w:ind w:right="-541"/>
      </w:pPr>
      <w:r>
        <w:rPr>
          <w:noProof/>
        </w:rPr>
        <w:drawing>
          <wp:inline distT="0" distB="0" distL="0" distR="0" wp14:anchorId="3EE2F7DB" wp14:editId="252FC9FD">
            <wp:extent cx="5731510" cy="4666615"/>
            <wp:effectExtent l="0" t="0" r="2540" b="635"/>
            <wp:docPr id="1" name="Picture 1" descr="A flow chart that shows the monitoring and evaluation framework implem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ow chart that shows the monitoring and evaluation framework implementatio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5D44D" w14:textId="7494E2E3" w:rsidR="00305B42" w:rsidRPr="00725A22" w:rsidRDefault="00725A22" w:rsidP="00305B42">
      <w:pPr>
        <w:pStyle w:val="CommentText"/>
        <w:ind w:right="-541"/>
        <w:rPr>
          <w:sz w:val="18"/>
          <w:szCs w:val="18"/>
        </w:rPr>
      </w:pPr>
      <w:r w:rsidRPr="00725A22">
        <w:rPr>
          <w:sz w:val="18"/>
          <w:szCs w:val="18"/>
        </w:rPr>
        <w:t xml:space="preserve">Figure.1: Monitoring and Evaluation Framework Implementation </w:t>
      </w:r>
    </w:p>
    <w:p w14:paraId="0D593C8A" w14:textId="77777777" w:rsidR="00305B42" w:rsidRPr="00F03C9E" w:rsidRDefault="00305B42" w:rsidP="00305B42">
      <w:pPr>
        <w:pStyle w:val="CommentText"/>
        <w:ind w:right="-541"/>
        <w:rPr>
          <w:color w:val="000000" w:themeColor="text1"/>
          <w:sz w:val="22"/>
          <w:szCs w:val="22"/>
        </w:rPr>
      </w:pPr>
    </w:p>
    <w:p w14:paraId="367B3A93" w14:textId="77777777" w:rsidR="00F03C9E" w:rsidRDefault="00F03C9E" w:rsidP="007B660C">
      <w:pPr>
        <w:rPr>
          <w:rFonts w:ascii="Arial" w:hAnsi="Arial" w:cs="Arial"/>
          <w:lang w:eastAsia="en-GB"/>
        </w:rPr>
      </w:pPr>
    </w:p>
    <w:p w14:paraId="2583702B" w14:textId="3A9C40B6" w:rsidR="007B660C" w:rsidRPr="00F03C9E" w:rsidRDefault="00306B20" w:rsidP="007B660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lang w:eastAsia="en-GB"/>
        </w:rPr>
        <w:t>C</w:t>
      </w:r>
      <w:r w:rsidR="007B660C" w:rsidRPr="00410900">
        <w:rPr>
          <w:rFonts w:ascii="Arial" w:hAnsi="Arial" w:cs="Arial"/>
          <w:lang w:eastAsia="en-GB"/>
        </w:rPr>
        <w:t xml:space="preserve">ontact </w:t>
      </w:r>
      <w:r w:rsidR="00F03C9E">
        <w:rPr>
          <w:rFonts w:ascii="Arial" w:hAnsi="Arial" w:cs="Arial"/>
          <w:lang w:eastAsia="en-GB"/>
        </w:rPr>
        <w:t>the MLRA</w:t>
      </w:r>
      <w:r w:rsidR="007B660C" w:rsidRPr="00410900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for more information </w:t>
      </w:r>
      <w:r w:rsidR="009E6133">
        <w:rPr>
          <w:rFonts w:ascii="Arial" w:hAnsi="Arial" w:cs="Arial"/>
          <w:lang w:eastAsia="en-GB"/>
        </w:rPr>
        <w:t xml:space="preserve">on </w:t>
      </w:r>
      <w:r w:rsidR="007B660C" w:rsidRPr="00410900">
        <w:rPr>
          <w:rFonts w:ascii="Arial" w:hAnsi="Arial" w:cs="Arial"/>
          <w:lang w:eastAsia="en-GB"/>
        </w:rPr>
        <w:t xml:space="preserve">1800 571 966 </w:t>
      </w:r>
      <w:r w:rsidR="00CF5023">
        <w:rPr>
          <w:rFonts w:ascii="Arial" w:hAnsi="Arial" w:cs="Arial"/>
          <w:lang w:eastAsia="en-GB"/>
        </w:rPr>
        <w:t>or</w:t>
      </w:r>
      <w:r>
        <w:rPr>
          <w:rFonts w:ascii="Arial" w:hAnsi="Arial" w:cs="Arial"/>
          <w:lang w:eastAsia="en-GB"/>
        </w:rPr>
        <w:t xml:space="preserve"> </w:t>
      </w:r>
      <w:hyperlink r:id="rId14" w:history="1">
        <w:r w:rsidRPr="00937E67">
          <w:rPr>
            <w:rStyle w:val="Hyperlink"/>
            <w:rFonts w:ascii="Arial" w:hAnsi="Arial" w:cs="Arial"/>
            <w:lang w:eastAsia="en-GB"/>
          </w:rPr>
          <w:t>contactus@mineland.vic.gov.au</w:t>
        </w:r>
      </w:hyperlink>
      <w:r w:rsidR="009E6133">
        <w:rPr>
          <w:rStyle w:val="Hyperlink"/>
          <w:rFonts w:ascii="Arial" w:hAnsi="Arial" w:cs="Arial"/>
          <w:lang w:eastAsia="en-GB"/>
        </w:rPr>
        <w:t xml:space="preserve">  </w:t>
      </w:r>
    </w:p>
    <w:p w14:paraId="33DE60F6" w14:textId="34C2250B" w:rsidR="007B660C" w:rsidRDefault="007B660C" w:rsidP="007B660C"/>
    <w:p w14:paraId="51D91C81" w14:textId="550BB765" w:rsidR="00D97E6E" w:rsidRDefault="000536D9">
      <w:r w:rsidRPr="000536D9">
        <w:rPr>
          <w:noProof/>
        </w:rPr>
        <w:drawing>
          <wp:inline distT="0" distB="0" distL="0" distR="0" wp14:anchorId="71D4D3A1" wp14:editId="64F09DBD">
            <wp:extent cx="426295" cy="419100"/>
            <wp:effectExtent l="0" t="0" r="0" b="0"/>
            <wp:docPr id="8" name="Picture 8" descr="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stagram logo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960" cy="4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@MLRAuthority    </w:t>
      </w:r>
      <w:r w:rsidRPr="000536D9">
        <w:rPr>
          <w:noProof/>
        </w:rPr>
        <w:drawing>
          <wp:inline distT="0" distB="0" distL="0" distR="0" wp14:anchorId="74770BF6" wp14:editId="229F460B">
            <wp:extent cx="391242" cy="381000"/>
            <wp:effectExtent l="0" t="0" r="8890" b="0"/>
            <wp:docPr id="9" name="Picture 9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acebook logo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133" cy="38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Facebook.com/MLRAVictoria   </w:t>
      </w:r>
      <w:r w:rsidRPr="000536D9">
        <w:rPr>
          <w:noProof/>
        </w:rPr>
        <w:drawing>
          <wp:inline distT="0" distB="0" distL="0" distR="0" wp14:anchorId="54C4E564" wp14:editId="56A212DA">
            <wp:extent cx="1104900" cy="267353"/>
            <wp:effectExtent l="0" t="0" r="0" b="0"/>
            <wp:docPr id="10" name="Picture 10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YouTube logo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5063" cy="2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MLRAuthority</w:t>
      </w:r>
    </w:p>
    <w:sectPr w:rsidR="00D97E6E" w:rsidSect="00D20B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0F1D" w14:textId="77777777" w:rsidR="003E4ADE" w:rsidRDefault="003E4ADE" w:rsidP="00D12781">
      <w:pPr>
        <w:spacing w:after="0" w:line="240" w:lineRule="auto"/>
      </w:pPr>
      <w:r>
        <w:separator/>
      </w:r>
    </w:p>
  </w:endnote>
  <w:endnote w:type="continuationSeparator" w:id="0">
    <w:p w14:paraId="79F8B7C3" w14:textId="77777777" w:rsidR="003E4ADE" w:rsidRDefault="003E4ADE" w:rsidP="00D12781">
      <w:pPr>
        <w:spacing w:after="0" w:line="240" w:lineRule="auto"/>
      </w:pPr>
      <w:r>
        <w:continuationSeparator/>
      </w:r>
    </w:p>
  </w:endnote>
  <w:endnote w:type="continuationNotice" w:id="1">
    <w:p w14:paraId="2A045E55" w14:textId="77777777" w:rsidR="003E4ADE" w:rsidRDefault="003E4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DB04" w14:textId="77777777" w:rsidR="001F3A76" w:rsidRDefault="001F3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4F06" w14:textId="02E21897" w:rsidR="00D97B00" w:rsidRDefault="0088182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D6097C" wp14:editId="56061B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52b403987f8e90b3dbab0b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B9780" w14:textId="666358CE" w:rsidR="0088182E" w:rsidRPr="0088182E" w:rsidRDefault="0088182E" w:rsidP="0088182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8182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6097C" id="_x0000_t202" coordsize="21600,21600" o:spt="202" path="m,l,21600r21600,l21600,xe">
              <v:stroke joinstyle="miter"/>
              <v:path gradientshapeok="t" o:connecttype="rect"/>
            </v:shapetype>
            <v:shape id="MSIPCM452b403987f8e90b3dbab0b7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3BB9780" w14:textId="666358CE" w:rsidR="0088182E" w:rsidRPr="0088182E" w:rsidRDefault="0088182E" w:rsidP="0088182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8182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E05CDD" w14:textId="4178CD2D" w:rsidR="000536D9" w:rsidRDefault="008B7C84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1A4" w14:textId="31293568" w:rsidR="001F3A76" w:rsidRDefault="008818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F2AB87" wp14:editId="7E7EBD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a4ca400ea11ed3b1362958ed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AE98EA" w14:textId="37FF478B" w:rsidR="0088182E" w:rsidRPr="0088182E" w:rsidRDefault="0088182E" w:rsidP="0088182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8182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2AB87" id="_x0000_t202" coordsize="21600,21600" o:spt="202" path="m,l,21600r21600,l21600,xe">
              <v:stroke joinstyle="miter"/>
              <v:path gradientshapeok="t" o:connecttype="rect"/>
            </v:shapetype>
            <v:shape id="MSIPCMa4ca400ea11ed3b1362958ed" o:spid="_x0000_s1027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7FAE98EA" w14:textId="37FF478B" w:rsidR="0088182E" w:rsidRPr="0088182E" w:rsidRDefault="0088182E" w:rsidP="0088182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8182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F63D" w14:textId="77777777" w:rsidR="003E4ADE" w:rsidRDefault="003E4ADE" w:rsidP="00D12781">
      <w:pPr>
        <w:spacing w:after="0" w:line="240" w:lineRule="auto"/>
      </w:pPr>
      <w:r>
        <w:separator/>
      </w:r>
    </w:p>
  </w:footnote>
  <w:footnote w:type="continuationSeparator" w:id="0">
    <w:p w14:paraId="0556CECE" w14:textId="77777777" w:rsidR="003E4ADE" w:rsidRDefault="003E4ADE" w:rsidP="00D12781">
      <w:pPr>
        <w:spacing w:after="0" w:line="240" w:lineRule="auto"/>
      </w:pPr>
      <w:r>
        <w:continuationSeparator/>
      </w:r>
    </w:p>
  </w:footnote>
  <w:footnote w:type="continuationNotice" w:id="1">
    <w:p w14:paraId="68BD0EEB" w14:textId="77777777" w:rsidR="003E4ADE" w:rsidRDefault="003E4A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B2C5" w14:textId="77777777" w:rsidR="001F3A76" w:rsidRDefault="001F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F22" w14:textId="01556480" w:rsidR="00D12781" w:rsidRDefault="00D12781" w:rsidP="00D12781">
    <w:pPr>
      <w:pStyle w:val="Header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A55" w14:textId="742412B0" w:rsidR="00D20B59" w:rsidRDefault="00D57B76" w:rsidP="002336D8">
    <w:pPr>
      <w:pStyle w:val="Header"/>
      <w:ind w:hanging="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46017F" wp14:editId="5E62E392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53325" cy="1028700"/>
              <wp:effectExtent l="0" t="0" r="952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28700"/>
                      </a:xfrm>
                      <a:prstGeom prst="rect">
                        <a:avLst/>
                      </a:prstGeom>
                      <a:solidFill>
                        <a:srgbClr val="00B0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A9BFF" id="Rectangle 2" o:spid="_x0000_s1026" alt="&quot;&quot;" style="position:absolute;margin-left:0;margin-top:0;width:594.75pt;height:81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" fillcolor="#00b0b9" stroked="f" strokeweight="1pt">
              <w10:wrap anchorx="page"/>
            </v:rect>
          </w:pict>
        </mc:Fallback>
      </mc:AlternateContent>
    </w:r>
    <w:r w:rsidR="0072558F">
      <w:rPr>
        <w:noProof/>
      </w:rPr>
      <w:drawing>
        <wp:inline distT="0" distB="0" distL="0" distR="0" wp14:anchorId="670D1204" wp14:editId="12C14463">
          <wp:extent cx="1466850" cy="1038301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35" cy="106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4D4"/>
    <w:multiLevelType w:val="hybridMultilevel"/>
    <w:tmpl w:val="8B269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102"/>
    <w:multiLevelType w:val="hybridMultilevel"/>
    <w:tmpl w:val="1974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75B0"/>
    <w:multiLevelType w:val="hybridMultilevel"/>
    <w:tmpl w:val="4620A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5654"/>
    <w:multiLevelType w:val="hybridMultilevel"/>
    <w:tmpl w:val="52168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80AE4"/>
    <w:multiLevelType w:val="hybridMultilevel"/>
    <w:tmpl w:val="09101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30D86"/>
    <w:multiLevelType w:val="hybridMultilevel"/>
    <w:tmpl w:val="950426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546">
    <w:abstractNumId w:val="5"/>
  </w:num>
  <w:num w:numId="2" w16cid:durableId="368842677">
    <w:abstractNumId w:val="3"/>
  </w:num>
  <w:num w:numId="3" w16cid:durableId="14234522">
    <w:abstractNumId w:val="4"/>
  </w:num>
  <w:num w:numId="4" w16cid:durableId="800147538">
    <w:abstractNumId w:val="2"/>
  </w:num>
  <w:num w:numId="5" w16cid:durableId="1480732527">
    <w:abstractNumId w:val="0"/>
  </w:num>
  <w:num w:numId="6" w16cid:durableId="51708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1"/>
    <w:rsid w:val="00025EBF"/>
    <w:rsid w:val="000536D9"/>
    <w:rsid w:val="000603E1"/>
    <w:rsid w:val="000756D7"/>
    <w:rsid w:val="00094464"/>
    <w:rsid w:val="00094EBA"/>
    <w:rsid w:val="000C5BDA"/>
    <w:rsid w:val="001152D5"/>
    <w:rsid w:val="00124F24"/>
    <w:rsid w:val="00146B24"/>
    <w:rsid w:val="001528F1"/>
    <w:rsid w:val="00164699"/>
    <w:rsid w:val="00193F7D"/>
    <w:rsid w:val="00195B43"/>
    <w:rsid w:val="001A6A1B"/>
    <w:rsid w:val="001D0AB7"/>
    <w:rsid w:val="001D282C"/>
    <w:rsid w:val="001E1B2A"/>
    <w:rsid w:val="001F3156"/>
    <w:rsid w:val="001F3A76"/>
    <w:rsid w:val="00205EE5"/>
    <w:rsid w:val="002115EF"/>
    <w:rsid w:val="002216B9"/>
    <w:rsid w:val="002336D8"/>
    <w:rsid w:val="00234756"/>
    <w:rsid w:val="00244288"/>
    <w:rsid w:val="002576C0"/>
    <w:rsid w:val="0027793B"/>
    <w:rsid w:val="0027795C"/>
    <w:rsid w:val="00286C66"/>
    <w:rsid w:val="00295C86"/>
    <w:rsid w:val="00296ECB"/>
    <w:rsid w:val="002977D7"/>
    <w:rsid w:val="002A2E36"/>
    <w:rsid w:val="002A7FD3"/>
    <w:rsid w:val="002B22B9"/>
    <w:rsid w:val="002E43D3"/>
    <w:rsid w:val="002F58B7"/>
    <w:rsid w:val="00305B42"/>
    <w:rsid w:val="00306B20"/>
    <w:rsid w:val="00327371"/>
    <w:rsid w:val="0033636D"/>
    <w:rsid w:val="003469E2"/>
    <w:rsid w:val="0037295B"/>
    <w:rsid w:val="00373A24"/>
    <w:rsid w:val="003810F0"/>
    <w:rsid w:val="00384A62"/>
    <w:rsid w:val="00386373"/>
    <w:rsid w:val="00387D1C"/>
    <w:rsid w:val="0039328B"/>
    <w:rsid w:val="003944B1"/>
    <w:rsid w:val="003A18F2"/>
    <w:rsid w:val="003B4880"/>
    <w:rsid w:val="003C1104"/>
    <w:rsid w:val="003D7BE8"/>
    <w:rsid w:val="003E4ADE"/>
    <w:rsid w:val="003F2889"/>
    <w:rsid w:val="003F5456"/>
    <w:rsid w:val="003F6860"/>
    <w:rsid w:val="00406A8E"/>
    <w:rsid w:val="00410900"/>
    <w:rsid w:val="0041615D"/>
    <w:rsid w:val="0041637A"/>
    <w:rsid w:val="00435330"/>
    <w:rsid w:val="00443A94"/>
    <w:rsid w:val="00450FA4"/>
    <w:rsid w:val="00451B4E"/>
    <w:rsid w:val="00490B0E"/>
    <w:rsid w:val="004B4E8D"/>
    <w:rsid w:val="004D4E7D"/>
    <w:rsid w:val="004F5C1A"/>
    <w:rsid w:val="00507339"/>
    <w:rsid w:val="0051629A"/>
    <w:rsid w:val="00555C72"/>
    <w:rsid w:val="00587C32"/>
    <w:rsid w:val="005C692F"/>
    <w:rsid w:val="005C780F"/>
    <w:rsid w:val="005C7FB0"/>
    <w:rsid w:val="00601640"/>
    <w:rsid w:val="00601FC8"/>
    <w:rsid w:val="00633485"/>
    <w:rsid w:val="00634530"/>
    <w:rsid w:val="00645809"/>
    <w:rsid w:val="0065130E"/>
    <w:rsid w:val="006521C6"/>
    <w:rsid w:val="006531C0"/>
    <w:rsid w:val="00654F14"/>
    <w:rsid w:val="00661BD5"/>
    <w:rsid w:val="00690117"/>
    <w:rsid w:val="006C25B0"/>
    <w:rsid w:val="00702779"/>
    <w:rsid w:val="007027AE"/>
    <w:rsid w:val="00710F99"/>
    <w:rsid w:val="00714602"/>
    <w:rsid w:val="00721990"/>
    <w:rsid w:val="00723B34"/>
    <w:rsid w:val="0072558F"/>
    <w:rsid w:val="00725A22"/>
    <w:rsid w:val="0074669C"/>
    <w:rsid w:val="00762B7C"/>
    <w:rsid w:val="0078040E"/>
    <w:rsid w:val="00793809"/>
    <w:rsid w:val="007B660C"/>
    <w:rsid w:val="007B6886"/>
    <w:rsid w:val="007C3BF3"/>
    <w:rsid w:val="007C7B2E"/>
    <w:rsid w:val="007E75C7"/>
    <w:rsid w:val="00844AE3"/>
    <w:rsid w:val="00851006"/>
    <w:rsid w:val="008511B5"/>
    <w:rsid w:val="0086742F"/>
    <w:rsid w:val="0088182E"/>
    <w:rsid w:val="008B345A"/>
    <w:rsid w:val="008B7C84"/>
    <w:rsid w:val="008C28AF"/>
    <w:rsid w:val="00904044"/>
    <w:rsid w:val="00913095"/>
    <w:rsid w:val="00931A62"/>
    <w:rsid w:val="009332DE"/>
    <w:rsid w:val="00964F5B"/>
    <w:rsid w:val="009655AE"/>
    <w:rsid w:val="00986C4B"/>
    <w:rsid w:val="009E450F"/>
    <w:rsid w:val="009E5585"/>
    <w:rsid w:val="009E6133"/>
    <w:rsid w:val="009F7793"/>
    <w:rsid w:val="00A15AE7"/>
    <w:rsid w:val="00A35468"/>
    <w:rsid w:val="00A52417"/>
    <w:rsid w:val="00A52424"/>
    <w:rsid w:val="00A60C1F"/>
    <w:rsid w:val="00A67A4C"/>
    <w:rsid w:val="00A9459E"/>
    <w:rsid w:val="00A96721"/>
    <w:rsid w:val="00AA27EB"/>
    <w:rsid w:val="00B0105B"/>
    <w:rsid w:val="00B33527"/>
    <w:rsid w:val="00B42D47"/>
    <w:rsid w:val="00B547D7"/>
    <w:rsid w:val="00B55B4D"/>
    <w:rsid w:val="00B57B38"/>
    <w:rsid w:val="00B637F5"/>
    <w:rsid w:val="00B74EDD"/>
    <w:rsid w:val="00BC30EE"/>
    <w:rsid w:val="00BC40E3"/>
    <w:rsid w:val="00BC4430"/>
    <w:rsid w:val="00BF0659"/>
    <w:rsid w:val="00BF6FDF"/>
    <w:rsid w:val="00C04C96"/>
    <w:rsid w:val="00C26E57"/>
    <w:rsid w:val="00C4348C"/>
    <w:rsid w:val="00C475F7"/>
    <w:rsid w:val="00C5677B"/>
    <w:rsid w:val="00C7027E"/>
    <w:rsid w:val="00C74107"/>
    <w:rsid w:val="00CA1D9C"/>
    <w:rsid w:val="00CB067B"/>
    <w:rsid w:val="00CB56E5"/>
    <w:rsid w:val="00CC26EB"/>
    <w:rsid w:val="00CF26FB"/>
    <w:rsid w:val="00CF5023"/>
    <w:rsid w:val="00CF6775"/>
    <w:rsid w:val="00D02299"/>
    <w:rsid w:val="00D0694E"/>
    <w:rsid w:val="00D12781"/>
    <w:rsid w:val="00D20B59"/>
    <w:rsid w:val="00D279BF"/>
    <w:rsid w:val="00D36258"/>
    <w:rsid w:val="00D569B1"/>
    <w:rsid w:val="00D57B76"/>
    <w:rsid w:val="00D61BCF"/>
    <w:rsid w:val="00D6584B"/>
    <w:rsid w:val="00D739FB"/>
    <w:rsid w:val="00D86936"/>
    <w:rsid w:val="00D97B00"/>
    <w:rsid w:val="00D97E6E"/>
    <w:rsid w:val="00DC49AC"/>
    <w:rsid w:val="00DC6223"/>
    <w:rsid w:val="00DE2B87"/>
    <w:rsid w:val="00DF3CD9"/>
    <w:rsid w:val="00E136DB"/>
    <w:rsid w:val="00E57AFC"/>
    <w:rsid w:val="00E74816"/>
    <w:rsid w:val="00E83666"/>
    <w:rsid w:val="00E878CA"/>
    <w:rsid w:val="00E90533"/>
    <w:rsid w:val="00EC1F77"/>
    <w:rsid w:val="00EC276A"/>
    <w:rsid w:val="00ED0CE7"/>
    <w:rsid w:val="00ED1B34"/>
    <w:rsid w:val="00EE22A9"/>
    <w:rsid w:val="00EF1E04"/>
    <w:rsid w:val="00F03C9E"/>
    <w:rsid w:val="00F12DA7"/>
    <w:rsid w:val="00F37605"/>
    <w:rsid w:val="00F52EF7"/>
    <w:rsid w:val="00F5446B"/>
    <w:rsid w:val="00F73706"/>
    <w:rsid w:val="00F8513E"/>
    <w:rsid w:val="00FC0C93"/>
    <w:rsid w:val="00FF0EDA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E33C6"/>
  <w15:chartTrackingRefBased/>
  <w15:docId w15:val="{62C142F2-2458-4930-A689-EB9CDB9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97E6E"/>
    <w:pPr>
      <w:spacing w:after="225" w:line="276" w:lineRule="auto"/>
      <w:ind w:right="57"/>
      <w:outlineLvl w:val="0"/>
    </w:pPr>
    <w:rPr>
      <w:rFonts w:ascii="Arial" w:eastAsia="Times New Roman" w:hAnsi="Arial" w:cs="Arial"/>
      <w:color w:val="4472C4" w:themeColor="accent1"/>
      <w:sz w:val="28"/>
      <w:szCs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D97E6E"/>
    <w:pPr>
      <w:spacing w:after="225" w:line="276" w:lineRule="auto"/>
      <w:ind w:right="57"/>
      <w:outlineLvl w:val="1"/>
    </w:pPr>
    <w:rPr>
      <w:rFonts w:ascii="Arial" w:eastAsia="Times New Roman" w:hAnsi="Arial" w:cs="Arial"/>
      <w:color w:val="5B9BD5" w:themeColor="accent5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81"/>
  </w:style>
  <w:style w:type="paragraph" w:styleId="Footer">
    <w:name w:val="footer"/>
    <w:basedOn w:val="Normal"/>
    <w:link w:val="FooterChar"/>
    <w:uiPriority w:val="99"/>
    <w:unhideWhenUsed/>
    <w:rsid w:val="00D1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81"/>
  </w:style>
  <w:style w:type="character" w:customStyle="1" w:styleId="Heading1Char">
    <w:name w:val="Heading 1 Char"/>
    <w:basedOn w:val="DefaultParagraphFont"/>
    <w:link w:val="Heading1"/>
    <w:uiPriority w:val="9"/>
    <w:rsid w:val="00D97E6E"/>
    <w:rPr>
      <w:rFonts w:ascii="Arial" w:eastAsia="Times New Roman" w:hAnsi="Arial" w:cs="Arial"/>
      <w:color w:val="4472C4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97E6E"/>
    <w:rPr>
      <w:rFonts w:ascii="Arial" w:eastAsia="Times New Roman" w:hAnsi="Arial" w:cs="Arial"/>
      <w:color w:val="5B9BD5" w:themeColor="accent5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B6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60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E450F"/>
    <w:pPr>
      <w:spacing w:line="276" w:lineRule="auto"/>
    </w:pPr>
    <w:rPr>
      <w:rFonts w:ascii="Arial" w:eastAsia="Times New Roman" w:hAnsi="Arial" w:cs="Arial"/>
      <w:color w:val="404040" w:themeColor="text1" w:themeTint="BF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50F"/>
    <w:rPr>
      <w:rFonts w:ascii="Arial" w:eastAsia="Times New Roman" w:hAnsi="Arial" w:cs="Arial"/>
      <w:color w:val="404040" w:themeColor="text1" w:themeTint="BF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9E450F"/>
  </w:style>
  <w:style w:type="paragraph" w:customStyle="1" w:styleId="paragraph">
    <w:name w:val="paragraph"/>
    <w:basedOn w:val="Normal"/>
    <w:rsid w:val="009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E450F"/>
  </w:style>
  <w:style w:type="character" w:customStyle="1" w:styleId="findhit">
    <w:name w:val="findhit"/>
    <w:basedOn w:val="DefaultParagraphFont"/>
    <w:rsid w:val="007C7B2E"/>
  </w:style>
  <w:style w:type="paragraph" w:styleId="Revision">
    <w:name w:val="Revision"/>
    <w:hidden/>
    <w:uiPriority w:val="99"/>
    <w:semiHidden/>
    <w:rsid w:val="008B34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3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5A"/>
    <w:pPr>
      <w:spacing w:line="240" w:lineRule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5A"/>
    <w:rPr>
      <w:rFonts w:ascii="Arial" w:eastAsia="Times New Roman" w:hAnsi="Arial" w:cs="Arial"/>
      <w:b/>
      <w:bCs/>
      <w:color w:val="404040" w:themeColor="text1" w:themeTint="BF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B34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us@mineland.vic.gov.au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07B0CDE7AB4458D304123F3427040" ma:contentTypeVersion="11" ma:contentTypeDescription="Create a new document." ma:contentTypeScope="" ma:versionID="6b3bf8618dc6b4e5989c591b69aab75b">
  <xsd:schema xmlns:xsd="http://www.w3.org/2001/XMLSchema" xmlns:xs="http://www.w3.org/2001/XMLSchema" xmlns:p="http://schemas.microsoft.com/office/2006/metadata/properties" xmlns:ns2="5e1c08d6-38c5-40b8-8b84-554aecd2fcf3" xmlns:ns3="d3786519-5789-458f-8e93-5f91bbcf305b" xmlns:ns4="82e636bd-1ac8-4bd5-b55e-a283be4a2028" xmlns:ns5="6819d285-fbbf-44cc-9982-85efbfe1e4b9" xmlns:ns6="a5f32de4-e402-4188-b034-e71ca7d22e54" targetNamespace="http://schemas.microsoft.com/office/2006/metadata/properties" ma:root="true" ma:fieldsID="d823f0ea6789eac998a5aebb35d4ff05" ns2:_="" ns3:_="" ns4:_="" ns5:_="" ns6:_="">
    <xsd:import namespace="5e1c08d6-38c5-40b8-8b84-554aecd2fcf3"/>
    <xsd:import namespace="d3786519-5789-458f-8e93-5f91bbcf305b"/>
    <xsd:import namespace="82e636bd-1ac8-4bd5-b55e-a283be4a2028"/>
    <xsd:import namespace="6819d285-fbbf-44cc-9982-85efbfe1e4b9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c08d6-38c5-40b8-8b84-554aecd2f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6519-5789-458f-8e93-5f91bbcf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36bd-1ac8-4bd5-b55e-a283be4a20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d285-fbbf-44cc-9982-85efbfe1e4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795167-f87c-40df-be03-b64936613494}" ma:internalName="TaxCatchAll" ma:showField="CatchAllData" ma:web="6819d285-fbbf-44cc-9982-85efbfe1e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36bd-1ac8-4bd5-b55e-a283be4a2028">
      <Terms xmlns="http://schemas.microsoft.com/office/infopath/2007/PartnerControls"/>
    </lcf76f155ced4ddcb4097134ff3c332f>
    <TaxCatchAll xmlns="6819d285-fbbf-44cc-9982-85efbfe1e4b9" xsi:nil="true"/>
  </documentManagement>
</p:properti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A37E928-DA42-4342-893F-4DAA8F8DD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54357-E4E9-4D26-A20B-A895507A669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250C11-AB1A-491A-9035-B65214EBC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232D8-1BB3-4BA8-A2D7-F997A319A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c08d6-38c5-40b8-8b84-554aecd2fcf3"/>
    <ds:schemaRef ds:uri="d3786519-5789-458f-8e93-5f91bbcf305b"/>
    <ds:schemaRef ds:uri="82e636bd-1ac8-4bd5-b55e-a283be4a2028"/>
    <ds:schemaRef ds:uri="6819d285-fbbf-44cc-9982-85efbfe1e4b9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D181E6-9EFF-4849-B4B7-3D03400179C9}">
  <ds:schemaRefs>
    <ds:schemaRef ds:uri="http://schemas.microsoft.com/office/2006/metadata/properties"/>
    <ds:schemaRef ds:uri="http://schemas.microsoft.com/office/infopath/2007/PartnerControls"/>
    <ds:schemaRef ds:uri="82e636bd-1ac8-4bd5-b55e-a283be4a2028"/>
    <ds:schemaRef ds:uri="6819d285-fbbf-44cc-9982-85efbfe1e4b9"/>
  </ds:schemaRefs>
</ds:datastoreItem>
</file>

<file path=customXml/itemProps6.xml><?xml version="1.0" encoding="utf-8"?>
<ds:datastoreItem xmlns:ds="http://schemas.openxmlformats.org/officeDocument/2006/customXml" ds:itemID="{FD1804A3-C7FA-4901-8A88-817F51EF28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2320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 Fitzclarence (DEECA)</dc:creator>
  <cp:keywords/>
  <dc:description/>
  <cp:lastModifiedBy>Ruth J Fitzclarence (DEECA)</cp:lastModifiedBy>
  <cp:revision>21</cp:revision>
  <cp:lastPrinted>2024-09-26T06:53:00Z</cp:lastPrinted>
  <dcterms:created xsi:type="dcterms:W3CDTF">2024-05-28T03:22:00Z</dcterms:created>
  <dcterms:modified xsi:type="dcterms:W3CDTF">2024-09-26T06:53:00Z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0x01010081B07B0CDE7AB4458D304123F3427040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SetDate">
    <vt:lpwstr>2024-09-26T06:53:37Z</vt:lpwstr>
  </property>
  <property fmtid="{D5CDD505-2E9C-101B-9397-08002B2CF9AE}" pid="6" name="MSIP_Label_4257e2ab-f512-40e2-9c9a-c64247360765_Method">
    <vt:lpwstr>Privileged</vt:lpwstr>
  </property>
  <property fmtid="{D5CDD505-2E9C-101B-9397-08002B2CF9AE}" pid="7" name="MSIP_Label_4257e2ab-f512-40e2-9c9a-c64247360765_Name">
    <vt:lpwstr>OFFICIAL</vt:lpwstr>
  </property>
  <property fmtid="{D5CDD505-2E9C-101B-9397-08002B2CF9AE}" pid="8" name="MSIP_Label_4257e2ab-f512-40e2-9c9a-c64247360765_SiteId">
    <vt:lpwstr>e8bdd6f7-fc18-4e48-a554-7f547927223b</vt:lpwstr>
  </property>
  <property fmtid="{D5CDD505-2E9C-101B-9397-08002B2CF9AE}" pid="9" name="MSIP_Label_4257e2ab-f512-40e2-9c9a-c64247360765_ActionId">
    <vt:lpwstr>9d7ac91c-e4e7-439d-80de-28c91ac5fe47</vt:lpwstr>
  </property>
  <property fmtid="{D5CDD505-2E9C-101B-9397-08002B2CF9AE}" pid="10" name="MSIP_Label_4257e2ab-f512-40e2-9c9a-c64247360765_ContentBits">
    <vt:lpwstr>2</vt:lpwstr>
  </property>
</Properties>
</file>